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0" w:type="auto"/>
        <w:jc w:val="center"/>
        <w:tblLayout w:type="fixed"/>
        <w:tblCellMar>
          <w:top w:w="0" w:type="dxa"/>
          <w:left w:w="108" w:type="dxa"/>
          <w:bottom w:w="0" w:type="dxa"/>
          <w:right w:w="108" w:type="dxa"/>
        </w:tblCellMar>
      </w:tblPr>
      <w:tblGrid>
        <w:gridCol w:w="7184"/>
        <w:gridCol w:w="2104"/>
      </w:tblGrid>
      <w:tr>
        <w:tblPrEx>
          <w:tblCellMar>
            <w:top w:w="0" w:type="dxa"/>
            <w:left w:w="108" w:type="dxa"/>
            <w:bottom w:w="0" w:type="dxa"/>
            <w:right w:w="108" w:type="dxa"/>
          </w:tblCellMar>
        </w:tblPrEx>
        <w:trPr>
          <w:trHeight w:val="2489" w:hRule="atLeast"/>
          <w:jc w:val="center"/>
        </w:trPr>
        <w:tc>
          <w:tcPr>
            <w:tcW w:w="7184" w:type="dxa"/>
            <w:vAlign w:val="center"/>
          </w:tcPr>
          <w:p>
            <w:pPr>
              <w:tabs>
                <w:tab w:val="left" w:pos="7246"/>
              </w:tabs>
              <w:spacing w:line="900" w:lineRule="exact"/>
              <w:ind w:firstLine="0" w:firstLineChars="0"/>
              <w:jc w:val="distribute"/>
              <w:rPr>
                <w:rFonts w:ascii="方正小标宋简体" w:hAnsi="新宋体" w:eastAsia="方正小标宋简体" w:cs="方正小标宋简体"/>
                <w:color w:val="FF0000"/>
                <w:w w:val="90"/>
                <w:sz w:val="72"/>
                <w:szCs w:val="72"/>
              </w:rPr>
            </w:pPr>
            <w:r>
              <w:rPr>
                <w:rFonts w:hint="eastAsia" w:ascii="方正小标宋简体" w:hAnsi="新宋体" w:eastAsia="方正小标宋简体" w:cs="方正小标宋简体"/>
                <w:color w:val="FF0000"/>
                <w:w w:val="90"/>
                <w:sz w:val="72"/>
                <w:szCs w:val="72"/>
              </w:rPr>
              <w:t>安徽省工商业联合会</w:t>
            </w:r>
          </w:p>
          <w:p>
            <w:pPr>
              <w:tabs>
                <w:tab w:val="left" w:pos="7246"/>
              </w:tabs>
              <w:spacing w:line="900" w:lineRule="exact"/>
              <w:ind w:firstLine="0" w:firstLineChars="0"/>
              <w:jc w:val="distribute"/>
              <w:rPr>
                <w:rFonts w:ascii="方正小标宋简体" w:hAnsi="新宋体" w:eastAsia="方正小标宋简体" w:cs="方正小标宋简体"/>
                <w:color w:val="FF0000"/>
                <w:w w:val="90"/>
                <w:sz w:val="72"/>
                <w:szCs w:val="72"/>
              </w:rPr>
            </w:pPr>
            <w:r>
              <w:rPr>
                <w:rFonts w:hint="eastAsia" w:ascii="方正小标宋简体" w:hAnsi="新宋体" w:eastAsia="方正小标宋简体" w:cs="方正小标宋简体"/>
                <w:color w:val="FF0000"/>
                <w:w w:val="90"/>
                <w:sz w:val="72"/>
                <w:szCs w:val="72"/>
              </w:rPr>
              <w:t>安徽省经济和信息化厅</w:t>
            </w:r>
          </w:p>
          <w:p>
            <w:pPr>
              <w:tabs>
                <w:tab w:val="left" w:pos="7246"/>
              </w:tabs>
              <w:spacing w:line="900" w:lineRule="exact"/>
              <w:ind w:firstLine="0" w:firstLineChars="0"/>
              <w:jc w:val="distribute"/>
              <w:rPr>
                <w:rFonts w:ascii="方正小标宋简体" w:hAnsi="新宋体" w:eastAsia="方正小标宋简体" w:cs="方正小标宋简体"/>
                <w:color w:val="FF0000"/>
                <w:w w:val="90"/>
                <w:sz w:val="60"/>
                <w:szCs w:val="60"/>
              </w:rPr>
            </w:pPr>
            <w:r>
              <w:rPr>
                <w:rFonts w:hint="eastAsia" w:ascii="方正小标宋简体" w:hAnsi="新宋体" w:eastAsia="方正小标宋简体" w:cs="方正小标宋简体"/>
                <w:color w:val="FF0000"/>
                <w:w w:val="90"/>
                <w:sz w:val="72"/>
                <w:szCs w:val="72"/>
              </w:rPr>
              <w:t xml:space="preserve">安徽省市场监督管理局    </w:t>
            </w:r>
          </w:p>
        </w:tc>
        <w:tc>
          <w:tcPr>
            <w:tcW w:w="2104" w:type="dxa"/>
            <w:vAlign w:val="center"/>
          </w:tcPr>
          <w:p>
            <w:pPr>
              <w:tabs>
                <w:tab w:val="left" w:pos="7246"/>
              </w:tabs>
              <w:spacing w:beforeLines="50" w:line="240" w:lineRule="atLeast"/>
              <w:ind w:firstLine="0" w:firstLineChars="0"/>
              <w:jc w:val="center"/>
              <w:rPr>
                <w:rFonts w:ascii="新宋体" w:hAnsi="新宋体" w:eastAsia="新宋体"/>
                <w:color w:val="FF0000"/>
                <w:w w:val="65"/>
                <w:sz w:val="140"/>
                <w:szCs w:val="140"/>
              </w:rPr>
            </w:pPr>
            <w:r>
              <w:rPr>
                <w:rFonts w:hint="eastAsia" w:ascii="方正小标宋简体" w:hAnsi="新宋体" w:eastAsia="方正小标宋简体" w:cs="方正小标宋简体"/>
                <w:color w:val="FF0000"/>
                <w:w w:val="65"/>
                <w:sz w:val="140"/>
                <w:szCs w:val="140"/>
              </w:rPr>
              <w:t>文件</w:t>
            </w:r>
          </w:p>
        </w:tc>
      </w:tr>
    </w:tbl>
    <w:p>
      <w:pPr>
        <w:spacing w:line="600" w:lineRule="exact"/>
        <w:ind w:firstLine="880"/>
        <w:jc w:val="center"/>
        <w:rPr>
          <w:rFonts w:ascii="方正小标宋简体" w:eastAsia="方正小标宋简体" w:cs="方正小标宋简体"/>
          <w:sz w:val="44"/>
          <w:szCs w:val="44"/>
        </w:rPr>
      </w:pPr>
    </w:p>
    <w:p>
      <w:pPr>
        <w:ind w:firstLine="0" w:firstLineChars="0"/>
        <w:jc w:val="center"/>
        <w:rPr>
          <w:rFonts w:ascii="仿宋_GB2312"/>
          <w:color w:val="000000"/>
          <w:sz w:val="32"/>
          <w:szCs w:val="32"/>
        </w:rPr>
      </w:pPr>
      <w:r>
        <w:rPr>
          <w:rFonts w:hint="eastAsia" w:ascii="仿宋_GB2312" w:cs="仿宋_GB2312"/>
          <w:color w:val="000000"/>
          <w:sz w:val="32"/>
          <w:szCs w:val="32"/>
        </w:rPr>
        <w:t>皖联发〔</w:t>
      </w:r>
      <w:r>
        <w:rPr>
          <w:rFonts w:ascii="仿宋_GB2312" w:cs="仿宋_GB2312"/>
          <w:color w:val="000000"/>
          <w:sz w:val="32"/>
          <w:szCs w:val="32"/>
        </w:rPr>
        <w:t>20</w:t>
      </w:r>
      <w:r>
        <w:rPr>
          <w:rFonts w:hint="eastAsia" w:ascii="仿宋_GB2312" w:cs="仿宋_GB2312"/>
          <w:color w:val="000000"/>
          <w:sz w:val="32"/>
          <w:szCs w:val="32"/>
        </w:rPr>
        <w:t>21〕12号</w:t>
      </w:r>
    </w:p>
    <w:p>
      <w:pPr>
        <w:spacing w:line="600" w:lineRule="exact"/>
        <w:ind w:firstLine="4060" w:firstLineChars="1450"/>
        <w:rPr>
          <w:rFonts w:ascii="方正小标宋简体" w:eastAsia="方正小标宋简体" w:cs="方正小标宋简体"/>
          <w:sz w:val="44"/>
          <w:szCs w:val="44"/>
        </w:rPr>
      </w:pPr>
      <w: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205740</wp:posOffset>
                </wp:positionV>
                <wp:extent cx="5829300" cy="0"/>
                <wp:effectExtent l="0" t="19050" r="7620" b="26670"/>
                <wp:wrapNone/>
                <wp:docPr id="6" name="组合 4"/>
                <wp:cNvGraphicFramePr/>
                <a:graphic xmlns:a="http://schemas.openxmlformats.org/drawingml/2006/main">
                  <a:graphicData uri="http://schemas.microsoft.com/office/word/2010/wordprocessingGroup">
                    <wpg:wgp>
                      <wpg:cNvGrpSpPr/>
                      <wpg:grpSpPr>
                        <a:xfrm>
                          <a:off x="0" y="0"/>
                          <a:ext cx="5829300" cy="0"/>
                          <a:chOff x="1077" y="5692"/>
                          <a:chExt cx="9180" cy="203"/>
                        </a:xfrm>
                      </wpg:grpSpPr>
                      <wps:wsp>
                        <wps:cNvPr id="1" name="直线 2"/>
                        <wps:cNvSpPr/>
                        <wps:spPr>
                          <a:xfrm>
                            <a:off x="1077" y="5692"/>
                            <a:ext cx="4140" cy="0"/>
                          </a:xfrm>
                          <a:prstGeom prst="line">
                            <a:avLst/>
                          </a:prstGeom>
                          <a:ln w="38100" cap="flat" cmpd="sng">
                            <a:solidFill>
                              <a:srgbClr val="FF0000"/>
                            </a:solidFill>
                            <a:prstDash val="solid"/>
                            <a:headEnd type="none" w="med" len="med"/>
                            <a:tailEnd type="none" w="med" len="med"/>
                          </a:ln>
                        </wps:spPr>
                        <wps:bodyPr upright="1"/>
                      </wps:wsp>
                      <wps:wsp>
                        <wps:cNvPr id="5" name="直线 3"/>
                        <wps:cNvSpPr/>
                        <wps:spPr>
                          <a:xfrm>
                            <a:off x="6117" y="5692"/>
                            <a:ext cx="4140" cy="0"/>
                          </a:xfrm>
                          <a:prstGeom prst="line">
                            <a:avLst/>
                          </a:prstGeom>
                          <a:ln w="38100" cap="flat" cmpd="sng">
                            <a:solidFill>
                              <a:srgbClr val="FF0000"/>
                            </a:solidFill>
                            <a:prstDash val="solid"/>
                            <a:headEnd type="none" w="med" len="med"/>
                            <a:tailEnd type="none" w="med" len="med"/>
                          </a:ln>
                        </wps:spPr>
                        <wps:bodyPr upright="1"/>
                      </wps:wsp>
                    </wpg:wgp>
                  </a:graphicData>
                </a:graphic>
              </wp:anchor>
            </w:drawing>
          </mc:Choice>
          <mc:Fallback>
            <w:pict>
              <v:group id="组合 4" o:spid="_x0000_s1026" o:spt="203" style="position:absolute;left:0pt;margin-left:0pt;margin-top:16.2pt;height:0pt;width:459pt;z-index:251660288;mso-width-relative:page;mso-height-relative:page;" coordorigin="1077,5692" coordsize="9180,203" o:gfxdata="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lhLrx1QAAAAYBAAAPAAAAAAAAAAEAIAAAACIAAABkcnMvZG93&#10;bnJldi54bWxQSwECFAAUAAAACACHTuJAXvHRZHUCAAAKBwAADgAAAAAAAAABACAAAAAkAQAAZHJz&#10;L2Uyb0RvYy54bWxQSwUGAAAAAAYABgBZAQAACwYAAAAA&#10;">
                <o:lock v:ext="edit" aspectratio="f"/>
                <v:line id="直线 2" o:spid="_x0000_s1026" o:spt="20" style="position:absolute;left:1077;top:5692;height:0;width:4140;" filled="f" stroked="t" coordsize="21600,21600" o:gfxdata="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Sp3m9cAAAAGAQAADwAAAAAA&#10;AAABACAAAAAiAAAAZHJzL2Rvd25yZXYueG1sUEsBAhQAFAAAAAgAh07iQNAIcYnbAQAAlwMAAA4A&#10;AAAAAAAAAQAgAAAAJgEAAGRycy9lMm9Eb2MueG1sUEsFBgAAAAAGAAYAWQEAAHMFAAAAAA==&#10;">
                  <v:fill on="f" focussize="0,0"/>
                  <v:stroke weight="3pt" color="#FF0000" joinstyle="round"/>
                  <v:imagedata o:title=""/>
                  <o:lock v:ext="edit" aspectratio="f"/>
                </v:line>
                <v:line id="直线 3" o:spid="_x0000_s1026" o:spt="20" style="position:absolute;left:6117;top:5692;height:0;width:4140;" filled="f" stroked="t" coordsize="21600,21600" o:gfxdata="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ysyV2wAAAAkBAAAP&#10;AAAAAAAAAAEAIAAAACIAAABkcnMvZG93bnJldi54bWxQSwECFAAUAAAACACHTuJASUys49wBAACX&#10;AwAADgAAAAAAAAABACAAAAAqAQAAZHJzL2Uyb0RvYy54bWxQSwUGAAAAAAYABgBZAQAAeAUAAAAA&#10;">
                  <v:fill on="f" focussize="0,0"/>
                  <v:stroke weight="3pt" color="#FF0000" joinstyle="round"/>
                  <v:imagedata o:title=""/>
                  <o:lock v:ext="edit" aspectratio="f"/>
                </v:line>
              </v:group>
            </w:pict>
          </mc:Fallback>
        </mc:AlternateContent>
      </w:r>
      <w:r>
        <w:rPr>
          <w:rFonts w:hint="eastAsia"/>
          <w:color w:val="FF0000"/>
          <w:sz w:val="52"/>
          <w:szCs w:val="52"/>
        </w:rPr>
        <w:t xml:space="preserve"> ★</w:t>
      </w:r>
    </w:p>
    <w:p>
      <w:pPr>
        <w:widowControl w:val="0"/>
        <w:spacing w:beforeLines="50" w:line="240" w:lineRule="auto"/>
        <w:ind w:firstLine="880"/>
        <w:rPr>
          <w:rFonts w:ascii="方正小标宋_GBK" w:hAnsi="方正小标宋_GBK" w:eastAsia="方正小标宋_GBK" w:cs="方正小标宋_GBK"/>
          <w:color w:val="000000"/>
          <w:sz w:val="44"/>
          <w:szCs w:val="44"/>
        </w:rPr>
      </w:pPr>
      <w:r>
        <w:rPr>
          <w:rFonts w:hint="eastAsia" w:ascii="方正小标宋简体" w:eastAsia="方正小标宋简体" w:cs="方正小标宋简体"/>
          <w:sz w:val="44"/>
          <w:szCs w:val="44"/>
        </w:rPr>
        <w:t>关</w:t>
      </w:r>
      <w:r>
        <w:rPr>
          <w:rFonts w:hint="eastAsia" w:ascii="方正小标宋_GBK" w:hAnsi="方正小标宋_GBK" w:eastAsia="方正小标宋_GBK" w:cs="方正小标宋_GBK"/>
          <w:color w:val="000000"/>
          <w:kern w:val="2"/>
          <w:sz w:val="44"/>
          <w:szCs w:val="44"/>
        </w:rPr>
        <w:t>于开展2020年度安徽省上规模民营企业</w:t>
      </w:r>
    </w:p>
    <w:p>
      <w:pPr>
        <w:widowControl w:val="0"/>
        <w:spacing w:line="240" w:lineRule="auto"/>
        <w:ind w:firstLine="0" w:firstLineChars="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2"/>
          <w:sz w:val="44"/>
          <w:szCs w:val="44"/>
        </w:rPr>
        <w:t>调研及百强排序活动的通知</w:t>
      </w:r>
    </w:p>
    <w:p>
      <w:pPr>
        <w:widowControl w:val="0"/>
        <w:spacing w:line="540" w:lineRule="exact"/>
        <w:ind w:firstLine="560"/>
        <w:rPr>
          <w:rFonts w:ascii="仿宋_GB2312" w:hAnsi="仿宋_GB2312" w:cs="仿宋_GB2312"/>
          <w:color w:val="000000"/>
          <w:szCs w:val="28"/>
        </w:rPr>
      </w:pPr>
    </w:p>
    <w:p>
      <w:pPr>
        <w:widowControl w:val="0"/>
        <w:spacing w:line="600" w:lineRule="exact"/>
        <w:ind w:firstLine="0" w:firstLineChars="0"/>
        <w:rPr>
          <w:rFonts w:ascii="仿宋_GB2312" w:hAnsi="仿宋_GB2312" w:cs="仿宋_GB2312"/>
          <w:color w:val="000000"/>
          <w:sz w:val="32"/>
          <w:szCs w:val="32"/>
        </w:rPr>
      </w:pPr>
      <w:r>
        <w:rPr>
          <w:rFonts w:hint="eastAsia" w:ascii="仿宋_GB2312" w:hAnsi="仿宋_GB2312" w:cs="仿宋_GB2312"/>
          <w:color w:val="000000"/>
          <w:kern w:val="2"/>
          <w:sz w:val="32"/>
          <w:szCs w:val="32"/>
        </w:rPr>
        <w:t>各市工商联、经济和信息化局、市场监督管理局，省工商联所属商会：</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根据全国工商联下发的2020年度上规模民营企业调研通知（全联厅发〔2021〕26号）要求，现就我省开展调研及百强排序活动有关事项通知如下。</w:t>
      </w:r>
    </w:p>
    <w:p>
      <w:pPr>
        <w:widowControl w:val="0"/>
        <w:spacing w:line="600" w:lineRule="exact"/>
        <w:ind w:firstLine="640"/>
        <w:rPr>
          <w:rFonts w:ascii="黑体" w:hAnsi="黑体" w:eastAsia="黑体" w:cs="黑体"/>
          <w:color w:val="000000"/>
          <w:sz w:val="32"/>
          <w:szCs w:val="32"/>
        </w:rPr>
      </w:pPr>
      <w:r>
        <w:rPr>
          <w:rFonts w:hint="eastAsia" w:ascii="黑体" w:hAnsi="黑体" w:eastAsia="黑体" w:cs="黑体"/>
          <w:color w:val="000000"/>
          <w:kern w:val="2"/>
          <w:sz w:val="32"/>
          <w:szCs w:val="32"/>
        </w:rPr>
        <w:t>一、调研目的</w:t>
      </w:r>
    </w:p>
    <w:p>
      <w:pPr>
        <w:widowControl w:val="0"/>
        <w:spacing w:line="600" w:lineRule="exact"/>
        <w:ind w:firstLine="664"/>
        <w:rPr>
          <w:rFonts w:ascii="仿宋_GB2312" w:hAnsi="仿宋_GB2312" w:cs="仿宋_GB2312"/>
          <w:color w:val="000000"/>
          <w:spacing w:val="6"/>
          <w:kern w:val="2"/>
          <w:sz w:val="32"/>
          <w:szCs w:val="32"/>
        </w:rPr>
      </w:pPr>
      <w:r>
        <w:rPr>
          <w:rFonts w:hint="eastAsia" w:ascii="仿宋_GB2312" w:hAnsi="仿宋_GB2312" w:cs="仿宋_GB2312"/>
          <w:color w:val="000000"/>
          <w:spacing w:val="6"/>
          <w:kern w:val="2"/>
          <w:sz w:val="32"/>
          <w:szCs w:val="32"/>
        </w:rPr>
        <w:t>通过组织开展“百强排序”活动，动态跟踪掌握我省上规模民营企业发展状况，把握共性问题，研究发展规律，探索民营企业高质量发展路径，提高工商联经济服务的针对性和实效性，为党委政府及相关部门客观分析我省民营企业经营发展水平、制定民营经济发展政策提供决策参考。</w:t>
      </w:r>
    </w:p>
    <w:p>
      <w:pPr>
        <w:widowControl w:val="0"/>
        <w:spacing w:line="600" w:lineRule="exact"/>
        <w:ind w:firstLine="640"/>
        <w:rPr>
          <w:rFonts w:ascii="仿宋_GB2312" w:hAnsi="仿宋_GB2312" w:cs="仿宋_GB2312"/>
          <w:color w:val="000000"/>
          <w:sz w:val="32"/>
          <w:szCs w:val="32"/>
        </w:rPr>
      </w:pPr>
    </w:p>
    <w:p>
      <w:pPr>
        <w:widowControl w:val="0"/>
        <w:spacing w:line="600" w:lineRule="exact"/>
        <w:ind w:firstLine="640"/>
        <w:rPr>
          <w:rFonts w:ascii="黑体" w:hAnsi="黑体" w:eastAsia="黑体" w:cs="黑体"/>
          <w:color w:val="000000"/>
          <w:kern w:val="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588" w:right="1077" w:bottom="1588" w:left="1077" w:header="851" w:footer="992" w:gutter="0"/>
          <w:cols w:space="0" w:num="1"/>
          <w:docGrid w:type="lines" w:linePitch="390" w:charSpace="0"/>
        </w:sectPr>
      </w:pPr>
    </w:p>
    <w:p>
      <w:pPr>
        <w:widowControl w:val="0"/>
        <w:spacing w:line="600" w:lineRule="exact"/>
        <w:ind w:firstLine="640"/>
        <w:rPr>
          <w:rFonts w:ascii="黑体" w:hAnsi="黑体" w:eastAsia="黑体" w:cs="黑体"/>
          <w:color w:val="000000"/>
          <w:kern w:val="2"/>
          <w:sz w:val="32"/>
          <w:szCs w:val="32"/>
        </w:rPr>
      </w:pPr>
      <w:r>
        <w:rPr>
          <w:rFonts w:hint="eastAsia" w:ascii="黑体" w:hAnsi="黑体" w:eastAsia="黑体" w:cs="黑体"/>
          <w:color w:val="000000"/>
          <w:kern w:val="2"/>
          <w:sz w:val="32"/>
          <w:szCs w:val="32"/>
        </w:rPr>
        <w:t>二、调研对象和内容</w:t>
      </w:r>
    </w:p>
    <w:p>
      <w:pPr>
        <w:widowControl w:val="0"/>
        <w:spacing w:line="600" w:lineRule="exact"/>
        <w:ind w:firstLine="643"/>
        <w:rPr>
          <w:rFonts w:ascii="仿宋_GB2312" w:hAnsi="仿宋_GB2312" w:cs="仿宋_GB2312"/>
          <w:color w:val="000000"/>
          <w:sz w:val="32"/>
          <w:szCs w:val="32"/>
        </w:rPr>
      </w:pPr>
      <w:r>
        <w:rPr>
          <w:rFonts w:hint="eastAsia" w:ascii="仿宋_GB2312" w:hAnsi="仿宋_GB2312" w:cs="仿宋_GB2312"/>
          <w:b/>
          <w:color w:val="000000"/>
          <w:kern w:val="2"/>
          <w:sz w:val="32"/>
          <w:szCs w:val="32"/>
        </w:rPr>
        <w:t>调研数据的时间范围</w:t>
      </w:r>
      <w:r>
        <w:rPr>
          <w:rFonts w:hint="eastAsia" w:ascii="仿宋_GB2312" w:hAnsi="仿宋_GB2312" w:cs="仿宋_GB2312"/>
          <w:color w:val="000000"/>
          <w:kern w:val="2"/>
          <w:sz w:val="32"/>
          <w:szCs w:val="32"/>
        </w:rPr>
        <w:t>：2020年1月1日——12月31日。</w:t>
      </w:r>
    </w:p>
    <w:p>
      <w:pPr>
        <w:widowControl w:val="0"/>
        <w:spacing w:line="600" w:lineRule="exact"/>
        <w:ind w:firstLine="643"/>
        <w:rPr>
          <w:rFonts w:ascii="仿宋_GB2312" w:hAnsi="仿宋_GB2312" w:cs="仿宋_GB2312"/>
          <w:b/>
          <w:color w:val="000000"/>
          <w:sz w:val="32"/>
          <w:szCs w:val="32"/>
        </w:rPr>
      </w:pPr>
      <w:r>
        <w:rPr>
          <w:rFonts w:hint="eastAsia" w:ascii="仿宋_GB2312" w:hAnsi="仿宋_GB2312" w:cs="仿宋_GB2312"/>
          <w:b/>
          <w:color w:val="000000"/>
          <w:kern w:val="2"/>
          <w:sz w:val="32"/>
          <w:szCs w:val="32"/>
        </w:rPr>
        <w:t>调研对象：</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一）在安徽省内注册且2020年度营业收入总额在3亿元人民币（含）以上的私营企业、非公有制经济成份控股的有限责任公司或股份有限公司（国有绝对控股企业、外资绝对控股企业和港澳台资绝对控股企业不在调研范围内）。营业收入总额指企业的所有收入，即主营业务和非主营业务、境内和境外的收入。</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二）下设多个子公司的集团企业（母公司），其各项经济指标应按照国家企业会计制度中有关合并报表的规定上报。已合并报表进集团（母公司）的子公司，若集团公司已报，子公司不参加排序。集团总部不在安徽的子公司可参加安徽排序。</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（三）2020年度存在重大失信行为或发生重大环境污染、生产安全和质量事故等情况的企业不参与调研排序。</w:t>
      </w:r>
    </w:p>
    <w:p>
      <w:pPr>
        <w:widowControl w:val="0"/>
        <w:spacing w:line="600" w:lineRule="exact"/>
        <w:ind w:firstLine="643"/>
        <w:rPr>
          <w:rFonts w:ascii="仿宋_GB2312" w:hAnsi="仿宋_GB2312" w:cs="仿宋_GB2312"/>
          <w:color w:val="000000"/>
          <w:sz w:val="32"/>
          <w:szCs w:val="32"/>
        </w:rPr>
      </w:pPr>
      <w:r>
        <w:rPr>
          <w:rFonts w:hint="eastAsia" w:ascii="仿宋_GB2312" w:hAnsi="仿宋_GB2312" w:cs="仿宋_GB2312"/>
          <w:b/>
          <w:color w:val="000000"/>
          <w:kern w:val="2"/>
          <w:sz w:val="32"/>
          <w:szCs w:val="32"/>
        </w:rPr>
        <w:t>调研内容</w:t>
      </w:r>
      <w:r>
        <w:rPr>
          <w:rFonts w:hint="eastAsia" w:ascii="仿宋_GB2312" w:hAnsi="仿宋_GB2312" w:cs="仿宋_GB2312"/>
          <w:color w:val="000000"/>
          <w:kern w:val="2"/>
          <w:sz w:val="32"/>
          <w:szCs w:val="32"/>
        </w:rPr>
        <w:t>:包括《2020年度企业基本情况调研表》（表一）、《2020年度企业发展与管理情况调研表》（表二）。表一是企业参加上规模民营企业调研排序的基础；表二是分析民营经济发展趋势、把握民营企业发展规律的重要依据。全国工商联将在调研分析的基础上发布中国民营企业500强、民营企业创新系列榜单以及创新指数。</w:t>
      </w:r>
    </w:p>
    <w:p>
      <w:pPr>
        <w:widowControl w:val="0"/>
        <w:spacing w:line="600" w:lineRule="exact"/>
        <w:ind w:firstLine="640"/>
        <w:rPr>
          <w:rFonts w:ascii="黑体" w:hAnsi="黑体" w:eastAsia="黑体" w:cs="黑体"/>
          <w:color w:val="000000"/>
          <w:sz w:val="32"/>
          <w:szCs w:val="32"/>
        </w:rPr>
      </w:pPr>
      <w:r>
        <w:rPr>
          <w:rFonts w:hint="eastAsia" w:ascii="黑体" w:hAnsi="黑体" w:eastAsia="黑体" w:cs="黑体"/>
          <w:color w:val="000000"/>
          <w:kern w:val="2"/>
          <w:sz w:val="32"/>
          <w:szCs w:val="32"/>
        </w:rPr>
        <w:t>三、我省百强排序项目及评价依据</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省工商联将在调研分析的基础上发布2021安徽省民营企业营收百强、制造业综合百强、服务业百强榜单。</w:t>
      </w:r>
    </w:p>
    <w:p>
      <w:pPr>
        <w:widowControl w:val="0"/>
        <w:spacing w:line="600" w:lineRule="exact"/>
        <w:ind w:firstLine="643"/>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kern w:val="2"/>
          <w:sz w:val="32"/>
          <w:szCs w:val="32"/>
        </w:rPr>
        <w:t>（一）营收百强评价依据</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企业年营收总额：包括企业的所有收入，即主营业务和非主营业务、境内和境外的收入。</w:t>
      </w:r>
    </w:p>
    <w:p>
      <w:pPr>
        <w:widowControl w:val="0"/>
        <w:spacing w:line="600" w:lineRule="exact"/>
        <w:ind w:firstLine="643"/>
        <w:rPr>
          <w:rFonts w:ascii="楷体_GB2312" w:hAnsi="楷体_GB2312" w:eastAsia="楷体_GB2312" w:cs="楷体_GB2312"/>
          <w:b/>
          <w:color w:val="000000"/>
          <w:kern w:val="2"/>
          <w:sz w:val="32"/>
          <w:szCs w:val="32"/>
        </w:rPr>
      </w:pPr>
      <w:r>
        <w:rPr>
          <w:rFonts w:hint="eastAsia" w:ascii="楷体_GB2312" w:hAnsi="楷体_GB2312" w:eastAsia="楷体_GB2312" w:cs="楷体_GB2312"/>
          <w:b/>
          <w:color w:val="000000"/>
          <w:kern w:val="2"/>
          <w:sz w:val="32"/>
          <w:szCs w:val="32"/>
        </w:rPr>
        <w:t>（二）制造业综合百强评价依据</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制造业企业界定：参照全国工商联下发的企业所属行业分类表中对制造业企业的界定。</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制造业企业评价体系：采用多指标综合评价方法，综合企业上一年度营收总额、利润总额、纳税总额、研发投入强度、企业创新能力等指标，设定各指标权重，利用功效系数法计算，获得综合排名。</w:t>
      </w:r>
    </w:p>
    <w:p>
      <w:pPr>
        <w:widowControl w:val="0"/>
        <w:spacing w:line="600" w:lineRule="exact"/>
        <w:ind w:firstLine="643"/>
        <w:rPr>
          <w:rFonts w:ascii="楷体_GB2312" w:hAnsi="楷体_GB2312" w:eastAsia="楷体_GB2312" w:cs="楷体_GB2312"/>
          <w:b/>
          <w:color w:val="000000"/>
          <w:kern w:val="2"/>
          <w:sz w:val="32"/>
          <w:szCs w:val="32"/>
        </w:rPr>
      </w:pPr>
      <w:r>
        <w:rPr>
          <w:rFonts w:hint="eastAsia" w:ascii="楷体_GB2312" w:hAnsi="楷体_GB2312" w:eastAsia="楷体_GB2312" w:cs="楷体_GB2312"/>
          <w:b/>
          <w:color w:val="000000"/>
          <w:kern w:val="2"/>
          <w:sz w:val="32"/>
          <w:szCs w:val="32"/>
        </w:rPr>
        <w:t>（三）服务业百强评价依据</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服务业企业界定：参照全国工商联下发的企业所属行业分类表中对服务业企业的界定。</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服务业企业年营收总额：包括企业的所有收入，即主营业务和非主营业务、境内和境外的收入。</w:t>
      </w:r>
    </w:p>
    <w:p>
      <w:pPr>
        <w:widowControl w:val="0"/>
        <w:spacing w:line="600" w:lineRule="exact"/>
        <w:ind w:firstLine="640"/>
        <w:rPr>
          <w:rFonts w:ascii="黑体" w:hAnsi="黑体" w:eastAsia="黑体" w:cs="黑体"/>
          <w:color w:val="000000"/>
          <w:sz w:val="32"/>
          <w:szCs w:val="32"/>
        </w:rPr>
      </w:pPr>
      <w:r>
        <w:rPr>
          <w:rFonts w:hint="eastAsia" w:ascii="黑体" w:hAnsi="黑体" w:eastAsia="黑体" w:cs="黑体"/>
          <w:color w:val="000000"/>
          <w:kern w:val="2"/>
          <w:sz w:val="32"/>
          <w:szCs w:val="32"/>
        </w:rPr>
        <w:t>四、调研成果运用</w:t>
      </w:r>
    </w:p>
    <w:p>
      <w:pPr>
        <w:widowControl w:val="0"/>
        <w:spacing w:line="600" w:lineRule="exact"/>
        <w:ind w:firstLine="640"/>
        <w:rPr>
          <w:rFonts w:ascii="仿宋_GB2312" w:hAnsi="仿宋_GB2312" w:cs="仿宋_GB2312"/>
          <w:color w:val="000000"/>
          <w:spacing w:val="-6"/>
          <w:sz w:val="32"/>
          <w:szCs w:val="32"/>
        </w:rPr>
      </w:pPr>
      <w:r>
        <w:rPr>
          <w:rFonts w:hint="eastAsia" w:ascii="仿宋_GB2312" w:hAnsi="仿宋_GB2312" w:cs="仿宋_GB2312"/>
          <w:color w:val="000000"/>
          <w:kern w:val="2"/>
          <w:sz w:val="32"/>
          <w:szCs w:val="32"/>
        </w:rPr>
        <w:t>1.召开安徽省民营企业百强发布会，发</w:t>
      </w:r>
      <w:r>
        <w:rPr>
          <w:rFonts w:hint="eastAsia" w:ascii="仿宋_GB2312" w:hAnsi="仿宋_GB2312" w:cs="仿宋_GB2312"/>
          <w:color w:val="000000"/>
          <w:spacing w:val="-6"/>
          <w:kern w:val="2"/>
          <w:sz w:val="32"/>
          <w:szCs w:val="32"/>
        </w:rPr>
        <w:t>布百强榜单，同步在报纸或网站等媒体发布。</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2.省工商联将在调研基础上形成分析报告，印制成册后随百强榜单分发各市工商联，并委托各市工商联提交给各市市委、市政府、市人大和市政协。</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3.有条件的市级工商联、直属商会，可结合本市、本行业民营企业的调研情况，</w:t>
      </w:r>
      <w:r>
        <w:rPr>
          <w:rFonts w:hint="eastAsia" w:ascii="仿宋_GB2312" w:hAnsi="仿宋_GB2312" w:cs="仿宋_GB2312"/>
          <w:bCs/>
          <w:color w:val="000000"/>
          <w:kern w:val="2"/>
          <w:sz w:val="32"/>
          <w:szCs w:val="32"/>
        </w:rPr>
        <w:t>开展本市、本行业民营企业排序工作，</w:t>
      </w:r>
      <w:r>
        <w:rPr>
          <w:rFonts w:hint="eastAsia" w:ascii="仿宋_GB2312" w:hAnsi="仿宋_GB2312" w:cs="仿宋_GB2312"/>
          <w:color w:val="000000"/>
          <w:kern w:val="2"/>
          <w:sz w:val="32"/>
          <w:szCs w:val="32"/>
        </w:rPr>
        <w:t>撰写调研分析报告，为当地党委、政府发展民营经济提供决策参考。</w:t>
      </w:r>
    </w:p>
    <w:p>
      <w:pPr>
        <w:widowControl w:val="0"/>
        <w:spacing w:line="600" w:lineRule="exact"/>
        <w:ind w:firstLine="640"/>
        <w:rPr>
          <w:rFonts w:ascii="黑体" w:hAnsi="黑体" w:eastAsia="黑体" w:cs="黑体"/>
          <w:color w:val="000000"/>
          <w:kern w:val="2"/>
          <w:sz w:val="32"/>
          <w:szCs w:val="32"/>
        </w:rPr>
      </w:pPr>
      <w:r>
        <w:rPr>
          <w:rFonts w:hint="eastAsia" w:ascii="黑体" w:hAnsi="黑体" w:eastAsia="黑体" w:cs="黑体"/>
          <w:color w:val="000000"/>
          <w:kern w:val="2"/>
          <w:sz w:val="32"/>
          <w:szCs w:val="32"/>
        </w:rPr>
        <w:t>五、调研组织实施与填报说明</w:t>
      </w:r>
    </w:p>
    <w:p>
      <w:pPr>
        <w:widowControl w:val="0"/>
        <w:spacing w:line="600" w:lineRule="exact"/>
        <w:ind w:firstLine="643"/>
        <w:rPr>
          <w:rFonts w:ascii="楷体_GB2312" w:hAnsi="楷体_GB2312" w:eastAsia="楷体_GB2312" w:cs="楷体_GB2312"/>
          <w:b/>
          <w:color w:val="000000"/>
          <w:kern w:val="2"/>
          <w:sz w:val="32"/>
          <w:szCs w:val="32"/>
        </w:rPr>
      </w:pPr>
      <w:r>
        <w:rPr>
          <w:rFonts w:hint="eastAsia" w:ascii="楷体_GB2312" w:hAnsi="楷体_GB2312" w:eastAsia="楷体_GB2312" w:cs="楷体_GB2312"/>
          <w:b/>
          <w:color w:val="000000"/>
          <w:kern w:val="2"/>
          <w:sz w:val="32"/>
          <w:szCs w:val="32"/>
        </w:rPr>
        <w:t>（一）组织实施</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调研以网络申报为主，适时采取走访调研形式。通知及调研表格可从安徽省工商联网站（http://www.ahgcc.cn）公告栏下载。</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1.各市工商联认真组织和指导区域内（含省直管县）的上规模民营企业、执委企业和直属商会会员企业参与调研，并采取抽样调查等形式审核相关材料。各级工商联所属商会会员企业参加属地调研申报。</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2.各市工商联于</w:t>
      </w:r>
      <w:r>
        <w:rPr>
          <w:rFonts w:hint="eastAsia" w:ascii="仿宋_GB2312" w:hAnsi="仿宋_GB2312" w:cs="仿宋_GB2312"/>
          <w:b/>
          <w:color w:val="000000"/>
          <w:kern w:val="2"/>
          <w:sz w:val="32"/>
          <w:szCs w:val="32"/>
        </w:rPr>
        <w:t>2021年5月7日前</w:t>
      </w:r>
      <w:r>
        <w:rPr>
          <w:rFonts w:hint="eastAsia" w:ascii="仿宋_GB2312" w:hAnsi="仿宋_GB2312" w:cs="仿宋_GB2312"/>
          <w:bCs/>
          <w:color w:val="000000"/>
          <w:kern w:val="2"/>
          <w:sz w:val="32"/>
          <w:szCs w:val="32"/>
        </w:rPr>
        <w:t>，将参加调研企业的名单、企业原始表报送省工商联经济处。对</w:t>
      </w:r>
      <w:r>
        <w:rPr>
          <w:rFonts w:hint="eastAsia" w:ascii="仿宋_GB2312" w:hAnsi="仿宋_GB2312" w:cs="仿宋_GB2312"/>
          <w:color w:val="000000"/>
          <w:kern w:val="2"/>
          <w:sz w:val="32"/>
          <w:szCs w:val="32"/>
        </w:rPr>
        <w:t>上报企业中有被列入诚信、环保黑名单的情况，请予以说明。</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3.如有网络申报系统技术问题，可联系全国工商联信息中心，电话：010-58050577。</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4.此次调研及发布活动不向企业收取任何费用。</w:t>
      </w:r>
    </w:p>
    <w:p>
      <w:pPr>
        <w:widowControl w:val="0"/>
        <w:spacing w:line="600" w:lineRule="exact"/>
        <w:ind w:firstLine="643"/>
        <w:rPr>
          <w:rFonts w:ascii="楷体_GB2312" w:hAnsi="楷体_GB2312" w:eastAsia="楷体_GB2312" w:cs="楷体_GB2312"/>
          <w:b/>
          <w:color w:val="000000"/>
          <w:kern w:val="2"/>
          <w:sz w:val="32"/>
          <w:szCs w:val="32"/>
        </w:rPr>
      </w:pPr>
      <w:r>
        <w:rPr>
          <w:rFonts w:hint="eastAsia" w:ascii="楷体_GB2312" w:hAnsi="楷体_GB2312" w:eastAsia="楷体_GB2312" w:cs="楷体_GB2312"/>
          <w:b/>
          <w:color w:val="000000"/>
          <w:kern w:val="2"/>
          <w:sz w:val="32"/>
          <w:szCs w:val="32"/>
        </w:rPr>
        <w:t>（二）填报说明</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1.参与调研的企业自行登录网络申报系统（网址是</w:t>
      </w:r>
      <w:r>
        <w:fldChar w:fldCharType="begin"/>
      </w:r>
      <w:r>
        <w:instrText xml:space="preserve"> HYPERLINK "http://sgm.acfic.org.cn），录入和审核数据。" </w:instrText>
      </w:r>
      <w:r>
        <w:fldChar w:fldCharType="separate"/>
      </w:r>
      <w:r>
        <w:rPr>
          <w:rStyle w:val="22"/>
          <w:rFonts w:hint="eastAsia" w:ascii="仿宋_GB2312" w:hAnsi="仿宋_GB2312" w:cs="仿宋_GB2312"/>
          <w:color w:val="000000"/>
          <w:sz w:val="32"/>
          <w:szCs w:val="32"/>
        </w:rPr>
        <w:t>http://sgm.acfic.org.cn）</w:t>
      </w:r>
      <w:r>
        <w:rPr>
          <w:rStyle w:val="22"/>
          <w:rFonts w:hint="eastAsia" w:ascii="仿宋_GB2312" w:hAnsi="仿宋_GB2312" w:cs="仿宋_GB2312"/>
          <w:color w:val="000000"/>
          <w:sz w:val="32"/>
          <w:szCs w:val="32"/>
          <w:u w:val="none"/>
        </w:rPr>
        <w:t>，如实填报相关数据，确认无误后打印纸质表格，</w:t>
      </w:r>
      <w:r>
        <w:rPr>
          <w:rStyle w:val="22"/>
          <w:rFonts w:hint="eastAsia" w:ascii="仿宋_GB2312" w:hAnsi="仿宋_GB2312" w:cs="仿宋_GB2312"/>
          <w:color w:val="000000"/>
          <w:sz w:val="32"/>
          <w:szCs w:val="32"/>
          <w:u w:val="none"/>
        </w:rPr>
        <w:fldChar w:fldCharType="end"/>
      </w:r>
      <w:r>
        <w:rPr>
          <w:rFonts w:hint="eastAsia" w:ascii="仿宋_GB2312" w:hAnsi="仿宋_GB2312" w:cs="仿宋_GB2312"/>
          <w:color w:val="000000"/>
          <w:kern w:val="2"/>
          <w:sz w:val="32"/>
          <w:szCs w:val="32"/>
        </w:rPr>
        <w:t>经企业法定代表人签字并加盖企业签章，寄送属地工商联。不得使用传真件、复印件和手写件。各市、县工商联登录网络申报系统审核数据。</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2.2020年度营业收入总额在45亿元以上的企业以及研发费用超过1亿元的企业，在报送企业原始表时必须提供财务报表（资产负债表、利润表）等证明材料。</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3.请制造业企业另提交以下证明材料：2020年度的专利、国内外商标，主编/参编的国际、国家或行业标准，以及企业技术中心、实验室（处于有效期内的）获得有关部门认定情况（附件2），并装订成册。</w:t>
      </w:r>
    </w:p>
    <w:p>
      <w:pPr>
        <w:widowControl w:val="0"/>
        <w:spacing w:line="600" w:lineRule="exact"/>
        <w:ind w:firstLine="640"/>
        <w:outlineLvl w:val="0"/>
        <w:rPr>
          <w:rFonts w:ascii="黑体" w:hAnsi="黑体" w:eastAsia="黑体" w:cs="仿宋_GB2312"/>
          <w:color w:val="000000"/>
          <w:sz w:val="32"/>
          <w:szCs w:val="32"/>
        </w:rPr>
      </w:pPr>
      <w:r>
        <w:rPr>
          <w:rFonts w:hint="eastAsia" w:ascii="黑体" w:hAnsi="黑体" w:eastAsia="黑体" w:cs="仿宋_GB2312"/>
          <w:color w:val="000000"/>
          <w:kern w:val="2"/>
          <w:sz w:val="32"/>
          <w:szCs w:val="32"/>
        </w:rPr>
        <w:t>六、工作要求</w:t>
      </w:r>
    </w:p>
    <w:p>
      <w:pPr>
        <w:widowControl w:val="0"/>
        <w:spacing w:line="600" w:lineRule="exact"/>
        <w:ind w:firstLine="643"/>
        <w:rPr>
          <w:rFonts w:ascii="仿宋_GB2312" w:hAnsi="仿宋_GB2312" w:cs="仿宋_GB2312"/>
          <w:color w:val="000000"/>
          <w:sz w:val="32"/>
          <w:szCs w:val="32"/>
        </w:rPr>
      </w:pPr>
      <w:r>
        <w:rPr>
          <w:rFonts w:hint="eastAsia" w:ascii="仿宋_GB2312" w:hAnsi="仿宋_GB2312" w:cs="仿宋_GB2312"/>
          <w:b/>
          <w:color w:val="000000"/>
          <w:kern w:val="2"/>
          <w:sz w:val="32"/>
          <w:szCs w:val="32"/>
        </w:rPr>
        <w:t>1.提高政治站位。</w:t>
      </w:r>
      <w:r>
        <w:rPr>
          <w:rFonts w:hint="eastAsia" w:ascii="仿宋_GB2312" w:hAnsi="仿宋_GB2312" w:cs="仿宋_GB2312"/>
          <w:color w:val="000000"/>
          <w:kern w:val="2"/>
          <w:sz w:val="32"/>
          <w:szCs w:val="32"/>
        </w:rPr>
        <w:t>充分认识上规模民营企业调研及百强排序工作的重要性，通过开展调研活动，准确摸排全省上规模民营企业经营业绩，全面、客观、真实地反映我省上规模民营企业发展水平，为党委、政府促进民营经济发展科学决策提供参考，是全省工商联系统围绕中心、服务大局，助力我省民营经济高质量发展的具体举措。</w:t>
      </w:r>
    </w:p>
    <w:p>
      <w:pPr>
        <w:widowControl w:val="0"/>
        <w:spacing w:line="600" w:lineRule="exact"/>
        <w:ind w:firstLine="643"/>
        <w:rPr>
          <w:rFonts w:ascii="仿宋_GB2312" w:hAnsi="仿宋_GB2312" w:cs="仿宋_GB2312"/>
          <w:color w:val="000000"/>
          <w:sz w:val="32"/>
          <w:szCs w:val="32"/>
        </w:rPr>
      </w:pPr>
      <w:r>
        <w:rPr>
          <w:rFonts w:hint="eastAsia" w:ascii="仿宋_GB2312" w:hAnsi="仿宋_GB2312" w:cs="仿宋_GB2312"/>
          <w:b/>
          <w:color w:val="000000"/>
          <w:kern w:val="2"/>
          <w:sz w:val="32"/>
          <w:szCs w:val="32"/>
        </w:rPr>
        <w:t>2.加强协同联动。</w:t>
      </w:r>
      <w:r>
        <w:rPr>
          <w:rFonts w:hint="eastAsia" w:ascii="仿宋_GB2312" w:hAnsi="仿宋_GB2312" w:cs="仿宋_GB2312"/>
          <w:color w:val="000000"/>
          <w:kern w:val="2"/>
          <w:sz w:val="32"/>
          <w:szCs w:val="32"/>
        </w:rPr>
        <w:t>各市有关部门要密切合作、各负其责。各市经信局、工商联共同做好制造业企业动员工作；各市工商联负责服务业企业动员工作；各市市场监管局强化入围企业的名称核实，并对被列入经营异常名录或者严重违法企业名单的企业依法予以限制，确保参与企业的广泛性、数据的真实性和准确性，力争做到应报尽报，进一步提高调研活动的公信力和品牌价值。</w:t>
      </w:r>
    </w:p>
    <w:p>
      <w:pPr>
        <w:widowControl w:val="0"/>
        <w:spacing w:line="600" w:lineRule="exact"/>
        <w:ind w:firstLine="643"/>
        <w:rPr>
          <w:rFonts w:ascii="仿宋_GB2312" w:hAnsi="仿宋_GB2312" w:cs="仿宋_GB2312"/>
          <w:color w:val="000000"/>
          <w:kern w:val="2"/>
          <w:sz w:val="32"/>
          <w:szCs w:val="32"/>
        </w:rPr>
      </w:pPr>
      <w:r>
        <w:rPr>
          <w:rFonts w:hint="eastAsia" w:ascii="仿宋_GB2312" w:hAnsi="仿宋_GB2312" w:cs="仿宋_GB2312"/>
          <w:b/>
          <w:color w:val="000000"/>
          <w:kern w:val="2"/>
          <w:sz w:val="32"/>
          <w:szCs w:val="32"/>
        </w:rPr>
        <w:t>3.加强统筹谋划。</w:t>
      </w:r>
      <w:r>
        <w:rPr>
          <w:rFonts w:hint="eastAsia" w:ascii="仿宋_GB2312" w:hAnsi="仿宋_GB2312" w:cs="仿宋_GB2312"/>
          <w:color w:val="000000"/>
          <w:kern w:val="2"/>
          <w:sz w:val="32"/>
          <w:szCs w:val="32"/>
        </w:rPr>
        <w:t>各市工商联主要负责同志要亲自部署，对重点企业要亲自上门动员，结合年度工作计划，做到以百强排序活动为抓手，把金融服务、科技成果转移转化等服务融入到调研排序具体工作中去，进一步发挥上规模民营企业调研及百强排序品牌工作的综合效益。</w:t>
      </w:r>
    </w:p>
    <w:p>
      <w:pPr>
        <w:widowControl w:val="0"/>
        <w:spacing w:line="600" w:lineRule="exact"/>
        <w:ind w:firstLine="640"/>
        <w:rPr>
          <w:rFonts w:ascii="仿宋_GB2312" w:hAnsi="仿宋_GB2312" w:cs="仿宋_GB2312"/>
          <w:color w:val="000000"/>
          <w:sz w:val="32"/>
          <w:szCs w:val="32"/>
        </w:rPr>
      </w:pP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联系人：省工商联经济处  许小明  谢鸿儒</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电  话：0551-62999947（兼传真） 62999948</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地  址：合肥市马鞍山路509号省政务大厦B区1805室（邮编230051）</w:t>
      </w:r>
    </w:p>
    <w:p>
      <w:pPr>
        <w:widowControl w:val="0"/>
        <w:spacing w:line="600" w:lineRule="exact"/>
        <w:ind w:firstLine="640"/>
        <w:rPr>
          <w:rFonts w:ascii="仿宋_GB2312" w:hAnsi="仿宋_GB2312" w:cs="仿宋_GB2312"/>
          <w:color w:val="000000"/>
          <w:sz w:val="32"/>
          <w:szCs w:val="32"/>
        </w:rPr>
      </w:pP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附件：1.2020年度全国工商联上规模民营企业调研表</w:t>
      </w:r>
    </w:p>
    <w:p>
      <w:pPr>
        <w:widowControl w:val="0"/>
        <w:spacing w:line="600" w:lineRule="exact"/>
        <w:ind w:firstLine="640"/>
        <w:rPr>
          <w:rFonts w:ascii="仿宋_GB2312" w:hAnsi="仿宋_GB2312" w:cs="仿宋_GB2312"/>
          <w:color w:val="000000"/>
          <w:sz w:val="32"/>
          <w:szCs w:val="32"/>
        </w:rPr>
      </w:pPr>
      <w:r>
        <w:rPr>
          <w:rFonts w:hint="eastAsia" w:ascii="仿宋_GB2312" w:hAnsi="仿宋_GB2312" w:cs="仿宋_GB2312"/>
          <w:color w:val="000000"/>
          <w:kern w:val="2"/>
          <w:sz w:val="32"/>
          <w:szCs w:val="32"/>
        </w:rPr>
        <w:t xml:space="preserve">      2.制造业企业相关证明材料 </w:t>
      </w:r>
    </w:p>
    <w:p>
      <w:pPr>
        <w:widowControl w:val="0"/>
        <w:spacing w:line="600" w:lineRule="exact"/>
        <w:ind w:firstLine="0" w:firstLineChars="0"/>
        <w:rPr>
          <w:rFonts w:ascii="仿宋_GB2312" w:hAnsi="仿宋_GB2312" w:cs="仿宋_GB2312"/>
          <w:color w:val="000000"/>
          <w:sz w:val="32"/>
          <w:szCs w:val="32"/>
        </w:rPr>
      </w:pPr>
    </w:p>
    <w:p>
      <w:pPr>
        <w:widowControl w:val="0"/>
        <w:spacing w:line="600" w:lineRule="exact"/>
        <w:ind w:firstLine="0" w:firstLineChars="0"/>
        <w:rPr>
          <w:rFonts w:ascii="仿宋_GB2312" w:hAnsi="仿宋_GB2312" w:cs="仿宋_GB2312"/>
          <w:color w:val="000000"/>
          <w:sz w:val="32"/>
          <w:szCs w:val="32"/>
        </w:rPr>
      </w:pPr>
    </w:p>
    <w:p>
      <w:pPr>
        <w:widowControl w:val="0"/>
        <w:spacing w:line="600" w:lineRule="exact"/>
        <w:ind w:firstLine="0" w:firstLineChars="0"/>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sz w:val="32"/>
          <w:szCs w:val="32"/>
        </w:rPr>
      </w:pPr>
      <w:r>
        <w:rPr>
          <w:rFonts w:hint="eastAsia" w:ascii="仿宋_GB2312" w:hAnsi="仿宋_GB2312" w:cs="仿宋_GB2312"/>
          <w:color w:val="000000"/>
          <w:kern w:val="2"/>
          <w:sz w:val="32"/>
          <w:szCs w:val="32"/>
        </w:rPr>
        <w:t xml:space="preserve">安徽省工商业联合会       </w:t>
      </w:r>
      <w:bookmarkStart w:id="18" w:name="_GoBack"/>
      <w:bookmarkEnd w:id="18"/>
      <w:r>
        <w:rPr>
          <w:rFonts w:hint="eastAsia" w:ascii="仿宋_GB2312" w:hAnsi="仿宋_GB2312" w:cs="仿宋_GB2312"/>
          <w:color w:val="000000"/>
          <w:kern w:val="2"/>
          <w:sz w:val="32"/>
          <w:szCs w:val="32"/>
        </w:rPr>
        <w:t>安徽省经济和信息化厅</w:t>
      </w:r>
    </w:p>
    <w:p>
      <w:pPr>
        <w:widowControl w:val="0"/>
        <w:spacing w:line="600" w:lineRule="exact"/>
        <w:ind w:firstLine="0" w:firstLineChars="0"/>
        <w:jc w:val="right"/>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sz w:val="32"/>
          <w:szCs w:val="32"/>
        </w:rPr>
      </w:pPr>
    </w:p>
    <w:p>
      <w:pPr>
        <w:widowControl w:val="0"/>
        <w:spacing w:line="600" w:lineRule="exact"/>
        <w:ind w:firstLine="0" w:firstLineChars="0"/>
        <w:jc w:val="right"/>
        <w:rPr>
          <w:rFonts w:ascii="仿宋_GB2312" w:hAnsi="仿宋_GB2312" w:cs="仿宋_GB2312"/>
          <w:color w:val="000000"/>
          <w:kern w:val="2"/>
          <w:sz w:val="32"/>
          <w:szCs w:val="32"/>
        </w:rPr>
      </w:pPr>
      <w:r>
        <w:rPr>
          <w:rFonts w:hint="eastAsia" w:ascii="仿宋_GB2312" w:hAnsi="仿宋_GB2312" w:cs="仿宋_GB2312"/>
          <w:color w:val="000000"/>
          <w:kern w:val="2"/>
          <w:sz w:val="32"/>
          <w:szCs w:val="32"/>
        </w:rPr>
        <w:t>安徽省市场监督管理局</w:t>
      </w:r>
    </w:p>
    <w:p>
      <w:pPr>
        <w:widowControl w:val="0"/>
        <w:spacing w:line="600" w:lineRule="exact"/>
        <w:ind w:firstLine="0" w:firstLineChars="0"/>
        <w:jc w:val="right"/>
        <w:rPr>
          <w:rFonts w:ascii="仿宋_GB2312" w:hAnsi="仿宋_GB2312" w:cs="仿宋_GB2312"/>
          <w:color w:val="000000"/>
          <w:kern w:val="2"/>
          <w:sz w:val="32"/>
          <w:szCs w:val="32"/>
        </w:rPr>
      </w:pPr>
    </w:p>
    <w:p>
      <w:pPr>
        <w:widowControl w:val="0"/>
        <w:spacing w:line="600" w:lineRule="exact"/>
        <w:ind w:firstLine="0" w:firstLineChars="0"/>
        <w:jc w:val="right"/>
        <w:rPr>
          <w:rFonts w:ascii="仿宋_GB2312" w:hAnsi="仿宋_GB2312" w:cs="仿宋_GB2312"/>
          <w:color w:val="000000"/>
          <w:kern w:val="2"/>
          <w:sz w:val="32"/>
          <w:szCs w:val="32"/>
        </w:rPr>
      </w:pPr>
    </w:p>
    <w:p>
      <w:pPr>
        <w:widowControl w:val="0"/>
        <w:spacing w:line="600" w:lineRule="exact"/>
        <w:ind w:firstLine="0" w:firstLineChars="0"/>
        <w:jc w:val="right"/>
        <w:rPr>
          <w:rFonts w:ascii="仿宋_GB2312" w:cs="方正小标宋简体"/>
          <w:color w:val="000000"/>
          <w:sz w:val="44"/>
          <w:szCs w:val="44"/>
        </w:rPr>
      </w:pPr>
      <w:r>
        <w:rPr>
          <w:rFonts w:hint="eastAsia" w:ascii="仿宋_GB2312" w:hAnsi="仿宋_GB2312" w:cs="仿宋_GB2312"/>
          <w:color w:val="000000"/>
          <w:kern w:val="2"/>
          <w:sz w:val="32"/>
          <w:szCs w:val="32"/>
        </w:rPr>
        <w:t xml:space="preserve">                            2021年4月13日</w:t>
      </w:r>
    </w:p>
    <w:p>
      <w:pPr>
        <w:widowControl w:val="0"/>
        <w:spacing w:line="520" w:lineRule="atLeast"/>
        <w:ind w:firstLine="0" w:firstLineChars="0"/>
        <w:rPr>
          <w:rFonts w:ascii="黑体" w:hAnsi="Calibri" w:eastAsia="黑体" w:cs="黑体"/>
          <w:color w:val="000000"/>
          <w:sz w:val="32"/>
          <w:szCs w:val="32"/>
        </w:rPr>
      </w:pPr>
      <w:r>
        <w:rPr>
          <w:rFonts w:hint="eastAsia" w:ascii="仿宋_GB2312" w:cs="方正小标宋简体"/>
          <w:color w:val="000000"/>
          <w:kern w:val="2"/>
          <w:sz w:val="44"/>
          <w:szCs w:val="44"/>
        </w:rPr>
        <w:br w:type="page"/>
      </w:r>
      <w:r>
        <w:rPr>
          <w:rFonts w:hint="eastAsia" w:ascii="黑体" w:hAnsi="Calibri" w:eastAsia="黑体" w:cs="黑体"/>
          <w:color w:val="000000"/>
          <w:kern w:val="2"/>
          <w:sz w:val="32"/>
          <w:szCs w:val="32"/>
        </w:rPr>
        <w:t>附件1</w:t>
      </w:r>
    </w:p>
    <w:p>
      <w:pPr>
        <w:widowControl w:val="0"/>
        <w:spacing w:line="520" w:lineRule="atLeast"/>
        <w:ind w:firstLine="640"/>
        <w:rPr>
          <w:rFonts w:ascii="黑体" w:eastAsia="黑体" w:cs="黑体"/>
          <w:color w:val="000000"/>
          <w:sz w:val="32"/>
          <w:szCs w:val="32"/>
        </w:rPr>
      </w:pPr>
      <w:r>
        <w:rPr>
          <w:rFonts w:hint="eastAsia" w:ascii="黑体" w:hAnsi="Calibri" w:eastAsia="黑体" w:cs="黑体"/>
          <w:color w:val="000000"/>
          <w:kern w:val="2"/>
          <w:sz w:val="32"/>
          <w:szCs w:val="32"/>
        </w:rPr>
        <w:t xml:space="preserve"> </w:t>
      </w:r>
    </w:p>
    <w:p>
      <w:pPr>
        <w:widowControl w:val="0"/>
        <w:spacing w:line="520" w:lineRule="atLeast"/>
        <w:ind w:firstLine="0" w:firstLineChars="0"/>
        <w:jc w:val="center"/>
        <w:outlineLvl w:val="0"/>
        <w:rPr>
          <w:rFonts w:ascii="楷体_GB2312" w:eastAsia="楷体_GB2312" w:cs="楷体_GB2312"/>
          <w:b/>
          <w:sz w:val="52"/>
        </w:rPr>
      </w:pPr>
      <w:r>
        <w:rPr>
          <w:rFonts w:hint="eastAsia" w:ascii="楷体_GB2312" w:hAnsi="Calibri" w:eastAsia="楷体_GB2312" w:cs="楷体_GB2312"/>
          <w:b/>
          <w:kern w:val="2"/>
          <w:sz w:val="52"/>
        </w:rPr>
        <w:t>2020年度全国工商联上规模</w:t>
      </w:r>
    </w:p>
    <w:p>
      <w:pPr>
        <w:widowControl w:val="0"/>
        <w:spacing w:line="520" w:lineRule="atLeast"/>
        <w:ind w:firstLine="0" w:firstLineChars="0"/>
        <w:jc w:val="center"/>
        <w:outlineLvl w:val="0"/>
        <w:rPr>
          <w:rFonts w:ascii="楷体_GB2312" w:eastAsia="楷体_GB2312" w:cs="楷体_GB2312"/>
          <w:b/>
          <w:sz w:val="52"/>
        </w:rPr>
      </w:pPr>
      <w:r>
        <w:rPr>
          <w:rFonts w:hint="eastAsia" w:ascii="楷体_GB2312" w:hAnsi="Calibri" w:eastAsia="楷体_GB2312" w:cs="楷体_GB2312"/>
          <w:b/>
          <w:kern w:val="2"/>
          <w:sz w:val="52"/>
        </w:rPr>
        <w:t>民营企业调研表</w:t>
      </w:r>
    </w:p>
    <w:p>
      <w:pPr>
        <w:widowControl w:val="0"/>
        <w:spacing w:line="520" w:lineRule="atLeast"/>
        <w:ind w:firstLine="562"/>
        <w:rPr>
          <w:rFonts w:ascii="楷体_GB2312" w:eastAsia="楷体_GB2312" w:cs="楷体_GB2312"/>
          <w:b/>
        </w:rPr>
      </w:pPr>
    </w:p>
    <w:p>
      <w:pPr>
        <w:widowControl w:val="0"/>
        <w:spacing w:line="520" w:lineRule="atLeast"/>
        <w:ind w:firstLine="562"/>
        <w:rPr>
          <w:rFonts w:ascii="楷体_GB2312" w:eastAsia="楷体_GB2312" w:cs="楷体_GB2312"/>
          <w:b/>
        </w:rPr>
      </w:pP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企业名称</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（公章）</w:t>
      </w:r>
    </w:p>
    <w:p>
      <w:pPr>
        <w:widowControl w:val="0"/>
        <w:spacing w:line="700" w:lineRule="exact"/>
        <w:ind w:firstLine="720"/>
        <w:rPr>
          <w:rFonts w:ascii="楷体_GB2312" w:eastAsia="楷体_GB2312" w:cs="楷体_GB2312"/>
          <w:sz w:val="36"/>
        </w:rPr>
      </w:pPr>
    </w:p>
    <w:p>
      <w:pPr>
        <w:widowControl w:val="0"/>
        <w:spacing w:line="700" w:lineRule="exact"/>
        <w:ind w:firstLine="1440" w:firstLineChars="450"/>
        <w:rPr>
          <w:rFonts w:ascii="楷体_GB2312" w:eastAsia="楷体_GB2312" w:cs="楷体_GB2312"/>
          <w:sz w:val="32"/>
          <w:szCs w:val="32"/>
          <w:u w:val="single"/>
        </w:rPr>
      </w:pPr>
      <w:r>
        <w:rPr>
          <w:rFonts w:hint="eastAsia" w:ascii="楷体_GB2312" w:hAnsi="Calibri" w:eastAsia="楷体_GB2312" w:cs="楷体_GB2312"/>
          <w:kern w:val="2"/>
          <w:sz w:val="32"/>
          <w:szCs w:val="32"/>
        </w:rPr>
        <w:t>企业法定代表人</w:t>
      </w:r>
      <w:r>
        <w:rPr>
          <w:rFonts w:hint="eastAsia" w:ascii="楷体_GB2312" w:hAnsi="Calibri" w:eastAsia="楷体_GB2312" w:cs="楷体_GB2312"/>
          <w:kern w:val="2"/>
          <w:sz w:val="32"/>
          <w:szCs w:val="32"/>
          <w:u w:val="single"/>
        </w:rPr>
        <w:t xml:space="preserve">                 </w:t>
      </w:r>
      <w:r>
        <w:rPr>
          <w:rFonts w:hint="eastAsia" w:ascii="楷体_GB2312" w:hAnsi="Calibri" w:eastAsia="楷体_GB2312" w:cs="楷体_GB2312"/>
          <w:kern w:val="2"/>
          <w:sz w:val="32"/>
          <w:szCs w:val="32"/>
        </w:rPr>
        <w:t>（亲笔签字）</w:t>
      </w:r>
    </w:p>
    <w:p>
      <w:pPr>
        <w:widowControl w:val="0"/>
        <w:spacing w:line="700" w:lineRule="exact"/>
        <w:ind w:firstLine="1440" w:firstLineChars="450"/>
        <w:rPr>
          <w:rFonts w:ascii="楷体_GB2312" w:eastAsia="楷体_GB2312" w:cs="楷体_GB2312"/>
          <w:sz w:val="32"/>
          <w:szCs w:val="32"/>
        </w:rPr>
      </w:pPr>
    </w:p>
    <w:p>
      <w:pPr>
        <w:widowControl w:val="0"/>
        <w:spacing w:line="700" w:lineRule="exact"/>
        <w:ind w:firstLine="1440" w:firstLineChars="450"/>
        <w:rPr>
          <w:rFonts w:ascii="楷体_GB2312" w:eastAsia="楷体_GB2312" w:cs="楷体_GB2312"/>
          <w:sz w:val="32"/>
          <w:szCs w:val="32"/>
          <w:u w:val="single"/>
        </w:rPr>
      </w:pPr>
      <w:r>
        <w:rPr>
          <w:rFonts w:hint="eastAsia" w:ascii="楷体_GB2312" w:hAnsi="Calibri" w:eastAsia="楷体_GB2312" w:cs="楷体_GB2312"/>
          <w:kern w:val="2"/>
          <w:sz w:val="32"/>
          <w:szCs w:val="32"/>
        </w:rPr>
        <w:t>企业填表时间</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年</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月</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日</w:t>
      </w:r>
    </w:p>
    <w:p>
      <w:pPr>
        <w:widowControl w:val="0"/>
        <w:spacing w:line="700" w:lineRule="exact"/>
        <w:ind w:firstLine="720"/>
        <w:rPr>
          <w:rFonts w:ascii="楷体_GB2312" w:eastAsia="楷体_GB2312" w:cs="楷体_GB2312"/>
          <w:sz w:val="36"/>
        </w:rPr>
      </w:pP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市级工商联</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（公章）</w:t>
      </w:r>
    </w:p>
    <w:p>
      <w:pPr>
        <w:widowControl w:val="0"/>
        <w:spacing w:line="700" w:lineRule="exact"/>
        <w:ind w:firstLine="640"/>
        <w:rPr>
          <w:rFonts w:ascii="楷体_GB2312" w:eastAsia="楷体_GB2312" w:cs="楷体_GB2312"/>
          <w:sz w:val="32"/>
        </w:rPr>
      </w:pP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省级工商联</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（公章）</w:t>
      </w: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（授权机构）</w:t>
      </w:r>
    </w:p>
    <w:p>
      <w:pPr>
        <w:widowControl w:val="0"/>
        <w:spacing w:line="480" w:lineRule="auto"/>
        <w:ind w:firstLine="0" w:firstLineChars="0"/>
        <w:jc w:val="center"/>
        <w:rPr>
          <w:rFonts w:ascii="楷体_GB2312" w:hAnsi="Calibri" w:eastAsia="楷体_GB2312" w:cs="楷体_GB2312"/>
          <w:bCs/>
          <w:kern w:val="2"/>
          <w:sz w:val="32"/>
          <w:szCs w:val="32"/>
        </w:rPr>
      </w:pPr>
    </w:p>
    <w:p>
      <w:pPr>
        <w:widowControl w:val="0"/>
        <w:spacing w:line="600" w:lineRule="exact"/>
        <w:ind w:firstLine="0" w:firstLineChars="0"/>
        <w:jc w:val="center"/>
        <w:rPr>
          <w:rFonts w:ascii="楷体_GB2312" w:eastAsia="楷体_GB2312" w:cs="楷体_GB2312"/>
          <w:bCs/>
          <w:sz w:val="32"/>
          <w:szCs w:val="32"/>
        </w:rPr>
      </w:pPr>
      <w:r>
        <w:rPr>
          <w:rFonts w:hint="eastAsia" w:ascii="楷体_GB2312" w:hAnsi="Calibri" w:eastAsia="楷体_GB2312" w:cs="楷体_GB2312"/>
          <w:bCs/>
          <w:kern w:val="2"/>
          <w:sz w:val="32"/>
          <w:szCs w:val="32"/>
        </w:rPr>
        <w:t>中华全国工商业联合会制表</w:t>
      </w:r>
    </w:p>
    <w:p>
      <w:pPr>
        <w:widowControl w:val="0"/>
        <w:spacing w:line="600" w:lineRule="exact"/>
        <w:ind w:firstLine="0" w:firstLineChars="0"/>
        <w:jc w:val="center"/>
        <w:rPr>
          <w:rFonts w:ascii="楷体_GB2312" w:eastAsia="楷体_GB2312" w:cs="楷体_GB2312"/>
          <w:bCs/>
          <w:sz w:val="32"/>
          <w:szCs w:val="32"/>
        </w:rPr>
      </w:pPr>
      <w:r>
        <w:rPr>
          <w:rFonts w:hint="eastAsia" w:ascii="楷体_GB2312" w:hAnsi="Calibri" w:eastAsia="楷体_GB2312" w:cs="楷体_GB2312"/>
          <w:bCs/>
          <w:kern w:val="2"/>
          <w:sz w:val="32"/>
          <w:szCs w:val="32"/>
        </w:rPr>
        <w:t>2021年3月</w:t>
      </w:r>
    </w:p>
    <w:p>
      <w:pPr>
        <w:ind w:firstLine="600"/>
        <w:rPr>
          <w:rFonts w:ascii="黑体" w:hAnsi="黑体" w:eastAsia="黑体" w:cs="黑体"/>
          <w:bCs/>
          <w:kern w:val="2"/>
          <w:sz w:val="30"/>
          <w:szCs w:val="30"/>
        </w:rPr>
      </w:pPr>
      <w:r>
        <w:rPr>
          <w:rFonts w:hint="eastAsia" w:ascii="黑体" w:hAnsi="黑体" w:eastAsia="黑体" w:cs="黑体"/>
          <w:bCs/>
          <w:kern w:val="2"/>
          <w:sz w:val="30"/>
          <w:szCs w:val="30"/>
        </w:rPr>
        <w:br w:type="page"/>
      </w:r>
    </w:p>
    <w:p>
      <w:pPr>
        <w:widowControl w:val="0"/>
        <w:spacing w:line="240" w:lineRule="auto"/>
        <w:ind w:firstLine="0" w:firstLineChars="0"/>
        <w:jc w:val="center"/>
        <w:rPr>
          <w:rFonts w:ascii="黑体" w:hAnsi="黑体" w:eastAsia="黑体" w:cs="黑体"/>
          <w:bCs/>
          <w:kern w:val="2"/>
          <w:sz w:val="30"/>
          <w:szCs w:val="30"/>
        </w:rPr>
      </w:pPr>
      <w:r>
        <w:rPr>
          <w:rFonts w:hint="eastAsia" w:ascii="黑体" w:hAnsi="黑体" w:eastAsia="黑体" w:cs="黑体"/>
          <w:bCs/>
          <w:kern w:val="2"/>
          <w:sz w:val="30"/>
          <w:szCs w:val="30"/>
        </w:rPr>
        <w:t>填表说明</w:t>
      </w:r>
    </w:p>
    <w:p>
      <w:pPr>
        <w:widowControl w:val="0"/>
        <w:spacing w:line="240" w:lineRule="auto"/>
        <w:ind w:firstLine="0" w:firstLineChars="0"/>
        <w:jc w:val="center"/>
        <w:rPr>
          <w:rFonts w:ascii="黑体" w:hAnsi="黑体" w:eastAsia="黑体" w:cs="黑体"/>
          <w:bCs/>
          <w:kern w:val="2"/>
          <w:sz w:val="30"/>
          <w:szCs w:val="30"/>
        </w:rPr>
      </w:pP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1.调研对象为2020年度营业收入总额在5亿元人民币（含）以上的私营企业、非公有制经济成份控股的有限责任公司和股份有限公司；国有绝对控股企业、外资绝对控股企业、港澳台资绝对控股企业不在调研范围内。</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2.此调研本着企业自愿参加、不收取费用的原则，调研表可从全国工商联网站首页“通知通告”栏下载。调研表分为《2020年度企业基本情况调研表》（表一）和《2020年度企业发展与管理情况调研表》（表二），请企业根据2020年1月1日至12月31日期间的经营情况填报。调研表需企业法定代表人或授权人亲自签字、加盖公司公章并经当地省、市工商联或授权机构审定盖章方为有效，</w:t>
      </w:r>
      <w:r>
        <w:rPr>
          <w:rFonts w:hint="eastAsia" w:asciiTheme="minorEastAsia" w:hAnsiTheme="minorEastAsia" w:eastAsiaTheme="minorEastAsia" w:cstheme="minorEastAsia"/>
          <w:b/>
          <w:kern w:val="2"/>
          <w:sz w:val="22"/>
          <w:szCs w:val="22"/>
        </w:rPr>
        <w:t>如无签字和公章一律退回</w:t>
      </w:r>
      <w:r>
        <w:rPr>
          <w:rFonts w:hint="eastAsia" w:asciiTheme="minorEastAsia" w:hAnsiTheme="minorEastAsia" w:eastAsiaTheme="minorEastAsia" w:cstheme="minorEastAsia"/>
          <w:kern w:val="2"/>
          <w:sz w:val="22"/>
          <w:szCs w:val="22"/>
        </w:rPr>
        <w:t>。</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3.全国工商联将向社会公布“2021中国民营企业500强、2021中国民营企业制造业500强、2021中国民营企业服务业100强”榜单以及民营企业创新系列榜单，并向入围榜单的企业颁发证书，</w:t>
      </w:r>
      <w:r>
        <w:rPr>
          <w:rFonts w:hint="eastAsia" w:asciiTheme="minorEastAsia" w:hAnsiTheme="minorEastAsia" w:eastAsiaTheme="minorEastAsia" w:cstheme="minorEastAsia"/>
          <w:b/>
          <w:kern w:val="2"/>
          <w:sz w:val="22"/>
          <w:szCs w:val="22"/>
        </w:rPr>
        <w:t>（发布活动和证书发放都不收取任何费用）</w:t>
      </w:r>
      <w:r>
        <w:rPr>
          <w:rFonts w:hint="eastAsia" w:asciiTheme="minorEastAsia" w:hAnsiTheme="minorEastAsia" w:eastAsiaTheme="minorEastAsia" w:cstheme="minorEastAsia"/>
          <w:kern w:val="2"/>
          <w:sz w:val="22"/>
          <w:szCs w:val="22"/>
        </w:rPr>
        <w:t>，调研排序结果将印发各地工商联。</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4.下设多个子公司的集团企业（母公司），其各项经济指标应按照国家企业会计制度中有关合并报表的规定上报。已合并报表进集团（母公司）的子公司，若集团公司已报，子公司不再进入调研排序。</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5.调研表一律打印，不得使用传真件、复印件和手写件，避免出现差错。</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6.《2020年度企业基本情况调研表》（表一）中：</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（1）企业所属行业和代码:请按照《企业所属行业分类表》中行业大类的类别名称填写（例如“A 农、林、牧、渔业”为行业门类，“1农业”为行业大类，其中“1”为代码，“农业”为类别名称）。</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（2）主营业务领域：填写主营业务涉足的行业编码及该行业营业收入占企业营收总额的比例，按降序排列，参考《企业所属行业分类表》。</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3）营收总额：包括企业的所有收入，即主营业务和非主营业务、境内和境外的收入。商业银行的营业收入为利息收入与非利息营业收入之和。保险公司的营业收入是保险费和年金收入扣除储蓄的资本收益或损失。</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（4）企业出租店铺收取租金的，营业收入总额只计算租金，承租企业的销售收入不能合并计算。</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5）缴税总额：指在中国大陆境内实际缴纳的税收总额，包括增值税、消费税、营业税、企业所得税以及其他各税种税收，不包括本企业（集团）代扣代缴其他企业或个人的各种税收，也不包括教育费附加、文化事业建设费等各项非税收缴费。</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（6）海外收入（不含出口）：指企业境外生产经营取得的外汇收入（不包括产品出口或服务贸易获得的外汇收入）。</w:t>
      </w:r>
    </w:p>
    <w:p>
      <w:pPr>
        <w:widowControl w:val="0"/>
        <w:spacing w:line="400" w:lineRule="exact"/>
        <w:ind w:firstLine="440"/>
        <w:rPr>
          <w:rFonts w:eastAsia="宋体"/>
          <w:sz w:val="22"/>
        </w:rPr>
      </w:pPr>
      <w:r>
        <w:rPr>
          <w:rFonts w:hint="eastAsia" w:asciiTheme="minorEastAsia" w:hAnsiTheme="minorEastAsia" w:eastAsiaTheme="minorEastAsia" w:cstheme="minorEastAsia"/>
          <w:kern w:val="2"/>
          <w:sz w:val="22"/>
          <w:szCs w:val="22"/>
        </w:rPr>
        <w:t>（7）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widowControl w:val="0"/>
        <w:spacing w:line="240" w:lineRule="auto"/>
        <w:ind w:firstLine="0" w:firstLineChars="0"/>
        <w:jc w:val="center"/>
        <w:rPr>
          <w:rFonts w:ascii="黑体" w:hAnsi="黑体" w:eastAsia="黑体" w:cs="黑体"/>
          <w:bCs/>
          <w:kern w:val="2"/>
          <w:sz w:val="30"/>
          <w:szCs w:val="30"/>
        </w:rPr>
      </w:pPr>
      <w:r>
        <w:rPr>
          <w:rFonts w:hint="eastAsia" w:ascii="黑体" w:hAnsi="Calibri" w:eastAsia="黑体" w:cs="黑体"/>
          <w:bCs/>
          <w:kern w:val="2"/>
          <w:sz w:val="30"/>
        </w:rPr>
        <w:br w:type="page"/>
      </w:r>
      <w:r>
        <w:rPr>
          <w:rFonts w:hint="eastAsia" w:ascii="黑体" w:hAnsi="黑体" w:eastAsia="黑体" w:cs="黑体"/>
          <w:bCs/>
          <w:kern w:val="2"/>
          <w:sz w:val="30"/>
          <w:szCs w:val="30"/>
        </w:rPr>
        <w:t>企业所属行业分类表（主要参考国民经济行业分类GB/T 4754-2017）</w:t>
      </w:r>
    </w:p>
    <w:p>
      <w:pPr>
        <w:widowControl w:val="0"/>
        <w:spacing w:line="240" w:lineRule="auto"/>
        <w:ind w:firstLine="0" w:firstLineChars="0"/>
        <w:jc w:val="center"/>
        <w:rPr>
          <w:rFonts w:ascii="黑体" w:hAnsi="黑体" w:eastAsia="黑体" w:cs="黑体"/>
          <w:bCs/>
          <w:kern w:val="2"/>
          <w:sz w:val="32"/>
          <w:szCs w:val="32"/>
        </w:rPr>
      </w:pPr>
    </w:p>
    <w:p>
      <w:pPr>
        <w:spacing w:line="320" w:lineRule="exact"/>
        <w:ind w:firstLine="0" w:firstLineChars="0"/>
        <w:jc w:val="left"/>
        <w:rPr>
          <w:b/>
          <w:sz w:val="18"/>
          <w:szCs w:val="18"/>
        </w:rPr>
        <w:sectPr>
          <w:footerReference r:id="rId11" w:type="default"/>
          <w:pgSz w:w="11906" w:h="16838"/>
          <w:pgMar w:top="1588" w:right="1077" w:bottom="1588" w:left="1077" w:header="851" w:footer="992" w:gutter="0"/>
          <w:pgNumType w:start="2"/>
          <w:cols w:space="0" w:num="1"/>
          <w:docGrid w:type="lines" w:linePitch="390" w:charSpace="0"/>
        </w:sectPr>
      </w:pPr>
    </w:p>
    <w:tbl>
      <w:tblPr>
        <w:tblStyle w:val="17"/>
        <w:tblW w:w="0" w:type="auto"/>
        <w:tblInd w:w="0" w:type="dxa"/>
        <w:tblLayout w:type="fixed"/>
        <w:tblCellMar>
          <w:top w:w="0" w:type="dxa"/>
          <w:left w:w="108" w:type="dxa"/>
          <w:bottom w:w="0" w:type="dxa"/>
          <w:right w:w="108" w:type="dxa"/>
        </w:tblCellMar>
      </w:tblPr>
      <w:tblGrid>
        <w:gridCol w:w="534"/>
        <w:gridCol w:w="3187"/>
      </w:tblGrid>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A</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农、林、牧、渔业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农业</w:t>
            </w:r>
          </w:p>
        </w:tc>
      </w:tr>
      <w:tr>
        <w:tblPrEx>
          <w:tblCellMar>
            <w:top w:w="0" w:type="dxa"/>
            <w:left w:w="108" w:type="dxa"/>
            <w:bottom w:w="0" w:type="dxa"/>
            <w:right w:w="108" w:type="dxa"/>
          </w:tblCellMar>
        </w:tblPrEx>
        <w:trPr>
          <w:trHeight w:val="309"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林业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畜牧业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渔业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农、林、牧、渔专业及辅助</w:t>
            </w:r>
          </w:p>
          <w:p>
            <w:pPr>
              <w:spacing w:line="300" w:lineRule="exact"/>
              <w:ind w:firstLine="0" w:firstLineChars="0"/>
              <w:jc w:val="left"/>
              <w:rPr>
                <w:sz w:val="21"/>
                <w:szCs w:val="21"/>
              </w:rPr>
            </w:pPr>
            <w:r>
              <w:rPr>
                <w:rFonts w:hint="eastAsia"/>
                <w:sz w:val="21"/>
                <w:szCs w:val="21"/>
              </w:rPr>
              <w:t>性活动</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B</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采矿业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煤炭开采和洗选业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石油和天然气开采业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黑色金属矿采选业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有色金属矿采选业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非金属矿采选业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开采专业及辅助性活动</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其他采矿业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C</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农副食品加工业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食品制造业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酒、饮料和精制茶制造业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烟草制品业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纺织业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纺织服装、服饰业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皮革、毛皮、羽毛及其制品</w:t>
            </w:r>
          </w:p>
          <w:p>
            <w:pPr>
              <w:spacing w:line="300" w:lineRule="exact"/>
              <w:ind w:firstLine="0" w:firstLineChars="0"/>
              <w:jc w:val="left"/>
              <w:rPr>
                <w:sz w:val="21"/>
                <w:szCs w:val="21"/>
              </w:rPr>
            </w:pPr>
            <w:r>
              <w:rPr>
                <w:rFonts w:hint="eastAsia"/>
                <w:sz w:val="21"/>
                <w:szCs w:val="21"/>
              </w:rPr>
              <w:t>和制鞋业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木材加工和木、竹、藤、棕、</w:t>
            </w:r>
          </w:p>
          <w:p>
            <w:pPr>
              <w:spacing w:line="300" w:lineRule="exact"/>
              <w:ind w:firstLine="0" w:firstLineChars="0"/>
              <w:jc w:val="left"/>
              <w:rPr>
                <w:sz w:val="21"/>
                <w:szCs w:val="21"/>
              </w:rPr>
            </w:pPr>
            <w:r>
              <w:rPr>
                <w:rFonts w:hint="eastAsia"/>
                <w:sz w:val="21"/>
                <w:szCs w:val="21"/>
              </w:rPr>
              <w:t>草制品业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家具制造业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造纸和纸制品业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印刷和记录媒介复制业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文教、工美、体育和娱乐用品</w:t>
            </w:r>
          </w:p>
          <w:p>
            <w:pPr>
              <w:spacing w:line="300" w:lineRule="exact"/>
              <w:ind w:firstLine="0" w:firstLineChars="0"/>
              <w:jc w:val="left"/>
              <w:rPr>
                <w:sz w:val="21"/>
                <w:szCs w:val="21"/>
              </w:rPr>
            </w:pPr>
            <w:r>
              <w:rPr>
                <w:rFonts w:hint="eastAsia"/>
                <w:sz w:val="21"/>
                <w:szCs w:val="21"/>
              </w:rPr>
              <w:t>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石油、煤炭及其他燃料加工业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化学原料和化学制品制造业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医药制造业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化学纤维制造业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橡胶和塑料制品业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非金属矿物制品业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黑色金属冶炼和压延加工业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有色金属冶炼和压延加工业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金属制品业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通用设备制造业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专用设备制造业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汽车制造业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铁路、船舶、航空航天和</w:t>
            </w:r>
          </w:p>
          <w:p>
            <w:pPr>
              <w:spacing w:line="300" w:lineRule="exact"/>
              <w:ind w:firstLine="0" w:firstLineChars="0"/>
              <w:jc w:val="left"/>
              <w:rPr>
                <w:sz w:val="21"/>
                <w:szCs w:val="21"/>
              </w:rPr>
            </w:pPr>
            <w:r>
              <w:rPr>
                <w:rFonts w:hint="eastAsia"/>
                <w:sz w:val="21"/>
                <w:szCs w:val="21"/>
              </w:rPr>
              <w:t>其他运输设备制造业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电气机械和器材制造业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计算机、通信和其他电子</w:t>
            </w:r>
          </w:p>
          <w:p>
            <w:pPr>
              <w:spacing w:line="300" w:lineRule="exact"/>
              <w:ind w:firstLine="0" w:firstLineChars="0"/>
              <w:jc w:val="left"/>
              <w:rPr>
                <w:sz w:val="21"/>
                <w:szCs w:val="21"/>
              </w:rPr>
            </w:pPr>
            <w:r>
              <w:rPr>
                <w:rFonts w:hint="eastAsia"/>
                <w:sz w:val="21"/>
                <w:szCs w:val="21"/>
              </w:rPr>
              <w:t>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仪器仪表制造业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废弃资源综合利用业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金属制品、机械和设备修理业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D</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电力、热力、燃气及水生产</w:t>
            </w:r>
          </w:p>
          <w:p>
            <w:pPr>
              <w:spacing w:line="300" w:lineRule="exact"/>
              <w:ind w:firstLine="0" w:firstLineChars="0"/>
              <w:jc w:val="left"/>
              <w:rPr>
                <w:b/>
                <w:sz w:val="21"/>
                <w:szCs w:val="21"/>
              </w:rPr>
            </w:pPr>
            <w:r>
              <w:rPr>
                <w:rFonts w:hint="eastAsia"/>
                <w:b/>
                <w:sz w:val="21"/>
                <w:szCs w:val="21"/>
              </w:rPr>
              <w:t>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电力、热力生产和供应业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燃气生产和供应业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水的生产和供应业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E</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建筑业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房屋建筑业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土木工程建筑业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建筑安装业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建筑装饰、装修和其他建筑业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F</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批发和零售业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批发业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零售业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G</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交通运输、仓储和邮政业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铁路运输业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道路运输业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水上运输业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航空运输业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管道运输业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多式联动和运输代理业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装卸搬运和仓储业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邮政业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H</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住宿和餐饮业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住宿业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餐饮业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I</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信息传输、软件和信息技术</w:t>
            </w:r>
          </w:p>
          <w:p>
            <w:pPr>
              <w:spacing w:line="300" w:lineRule="exact"/>
              <w:ind w:firstLine="0" w:firstLineChars="0"/>
              <w:jc w:val="left"/>
              <w:rPr>
                <w:b/>
                <w:sz w:val="21"/>
                <w:szCs w:val="21"/>
              </w:rPr>
            </w:pPr>
            <w:r>
              <w:rPr>
                <w:rFonts w:hint="eastAsia"/>
                <w:b/>
                <w:sz w:val="21"/>
                <w:szCs w:val="21"/>
              </w:rPr>
              <w:t>服务业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电信、广播电视和卫星传输</w:t>
            </w:r>
          </w:p>
          <w:p>
            <w:pPr>
              <w:spacing w:line="300" w:lineRule="exact"/>
              <w:ind w:firstLine="0" w:firstLineChars="0"/>
              <w:jc w:val="left"/>
              <w:rPr>
                <w:sz w:val="21"/>
                <w:szCs w:val="21"/>
              </w:rPr>
            </w:pPr>
            <w:r>
              <w:rPr>
                <w:rFonts w:hint="eastAsia"/>
                <w:sz w:val="21"/>
                <w:szCs w:val="21"/>
              </w:rPr>
              <w:t>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互联网和相关服务</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软件和信息技术服务业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J</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金融业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货币金融服务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资本市场服务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保险业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其他金融业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K</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房地产业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房地产业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L</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租赁和商务服务业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租赁业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商务服务业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M</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科学研究和技术服务业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研究和试验发展</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专业技术服务业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科技推广和应用服务业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N</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水利、环境和公共设施管理业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水利管理业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生态保护和环境治理业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公共设施管理业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土地管理业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O</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居民服务、修理和其他服务业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居民服务业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机动车、电子产品和日用产品</w:t>
            </w:r>
          </w:p>
          <w:p>
            <w:pPr>
              <w:spacing w:line="300" w:lineRule="exact"/>
              <w:ind w:firstLine="0" w:firstLineChars="0"/>
              <w:jc w:val="left"/>
              <w:rPr>
                <w:sz w:val="21"/>
                <w:szCs w:val="21"/>
              </w:rPr>
            </w:pPr>
            <w:r>
              <w:rPr>
                <w:rFonts w:hint="eastAsia"/>
                <w:sz w:val="21"/>
                <w:szCs w:val="21"/>
              </w:rPr>
              <w:t>修理业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P</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教育</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教育</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Q</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卫生和社会工作</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卫生</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社会工作</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R</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文化、体育和娱乐业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新闻和出版业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广播、电视、电影和影视录音</w:t>
            </w:r>
          </w:p>
          <w:p>
            <w:pPr>
              <w:spacing w:line="300" w:lineRule="exact"/>
              <w:ind w:firstLine="0" w:firstLineChars="0"/>
              <w:jc w:val="left"/>
              <w:rPr>
                <w:sz w:val="21"/>
                <w:szCs w:val="21"/>
              </w:rPr>
            </w:pPr>
            <w:r>
              <w:rPr>
                <w:rFonts w:hint="eastAsia"/>
                <w:sz w:val="21"/>
                <w:szCs w:val="21"/>
              </w:rPr>
              <w:t>制作业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文化艺术业</w:t>
            </w:r>
          </w:p>
        </w:tc>
      </w:tr>
      <w:tr>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体育</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90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娱乐业</w:t>
            </w:r>
          </w:p>
        </w:tc>
      </w:tr>
      <w:tr>
        <w:tblPrEx>
          <w:tblCellMar>
            <w:top w:w="0" w:type="dxa"/>
            <w:left w:w="108" w:type="dxa"/>
            <w:bottom w:w="0" w:type="dxa"/>
            <w:right w:w="108" w:type="dxa"/>
          </w:tblCellMar>
        </w:tblPrEx>
        <w:trPr>
          <w:trHeight w:val="270" w:hRule="atLeast"/>
        </w:trPr>
        <w:tc>
          <w:tcPr>
            <w:tcW w:w="3721" w:type="dxa"/>
            <w:gridSpan w:val="2"/>
            <w:vAlign w:val="center"/>
          </w:tcPr>
          <w:p>
            <w:pPr>
              <w:spacing w:line="300" w:lineRule="exact"/>
              <w:ind w:firstLine="0" w:firstLineChars="0"/>
              <w:jc w:val="left"/>
              <w:rPr>
                <w:b/>
                <w:sz w:val="21"/>
                <w:szCs w:val="21"/>
              </w:rPr>
            </w:pPr>
            <w:r>
              <w:rPr>
                <w:rFonts w:hint="eastAsia"/>
                <w:b/>
                <w:sz w:val="21"/>
                <w:szCs w:val="21"/>
              </w:rPr>
              <w:t>Z    综合</w:t>
            </w:r>
          </w:p>
        </w:tc>
      </w:tr>
      <w:tr>
        <w:trPr>
          <w:trHeight w:val="270" w:hRule="atLeast"/>
        </w:trPr>
        <w:tc>
          <w:tcPr>
            <w:tcW w:w="534" w:type="dxa"/>
            <w:tcBorders>
              <w:left w:val="nil"/>
            </w:tcBorders>
            <w:vAlign w:val="center"/>
          </w:tcPr>
          <w:p>
            <w:pPr>
              <w:spacing w:line="300" w:lineRule="exact"/>
              <w:ind w:firstLine="0" w:firstLineChars="0"/>
              <w:jc w:val="right"/>
              <w:rPr>
                <w:sz w:val="21"/>
                <w:szCs w:val="21"/>
              </w:rPr>
            </w:pPr>
            <w:r>
              <w:rPr>
                <w:rFonts w:hint="eastAsia"/>
                <w:sz w:val="21"/>
                <w:szCs w:val="21"/>
              </w:rPr>
              <w:t>99</w:t>
            </w:r>
          </w:p>
        </w:tc>
        <w:tc>
          <w:tcPr>
            <w:tcW w:w="3187" w:type="dxa"/>
            <w:vAlign w:val="center"/>
          </w:tcPr>
          <w:p>
            <w:pPr>
              <w:spacing w:line="300" w:lineRule="exact"/>
              <w:ind w:firstLine="0" w:firstLineChars="0"/>
              <w:jc w:val="left"/>
              <w:rPr>
                <w:sz w:val="21"/>
                <w:szCs w:val="21"/>
              </w:rPr>
            </w:pPr>
            <w:r>
              <w:rPr>
                <w:rFonts w:hint="eastAsia"/>
                <w:sz w:val="21"/>
                <w:szCs w:val="21"/>
              </w:rPr>
              <w:t>综合</w:t>
            </w:r>
          </w:p>
        </w:tc>
      </w:tr>
    </w:tbl>
    <w:p>
      <w:pPr>
        <w:widowControl w:val="0"/>
        <w:spacing w:line="240" w:lineRule="auto"/>
        <w:ind w:firstLine="0" w:firstLineChars="0"/>
        <w:jc w:val="center"/>
        <w:rPr>
          <w:rFonts w:ascii="黑体" w:hAnsi="Calibri" w:eastAsia="黑体" w:cs="Times New Roman"/>
          <w:bCs/>
          <w:kern w:val="2"/>
          <w:sz w:val="30"/>
        </w:rPr>
        <w:sectPr>
          <w:type w:val="continuous"/>
          <w:pgSz w:w="11906" w:h="16838"/>
          <w:pgMar w:top="1588" w:right="1077" w:bottom="1588" w:left="1077" w:header="851" w:footer="992" w:gutter="0"/>
          <w:cols w:space="0" w:num="3"/>
          <w:docGrid w:type="lines" w:linePitch="390" w:charSpace="0"/>
        </w:sectPr>
      </w:pPr>
    </w:p>
    <w:p>
      <w:pPr>
        <w:widowControl w:val="0"/>
        <w:spacing w:line="240" w:lineRule="auto"/>
        <w:ind w:firstLine="0" w:firstLineChars="0"/>
        <w:jc w:val="center"/>
        <w:rPr>
          <w:rFonts w:ascii="黑体" w:hAnsi="黑体" w:eastAsia="黑体" w:cs="黑体"/>
          <w:bCs/>
          <w:kern w:val="2"/>
          <w:sz w:val="30"/>
          <w:szCs w:val="30"/>
        </w:rPr>
      </w:pPr>
      <w:r>
        <w:rPr>
          <w:rFonts w:hint="eastAsia" w:ascii="黑体" w:hAnsi="Calibri" w:eastAsia="黑体" w:cs="Times New Roman"/>
          <w:bCs/>
          <w:kern w:val="2"/>
          <w:sz w:val="30"/>
        </w:rPr>
        <w:br w:type="page"/>
      </w:r>
      <w:r>
        <w:rPr>
          <w:rFonts w:hint="eastAsia" w:ascii="黑体" w:hAnsi="黑体" w:eastAsia="黑体" w:cs="黑体"/>
          <w:bCs/>
          <w:kern w:val="2"/>
          <w:sz w:val="30"/>
          <w:szCs w:val="30"/>
        </w:rPr>
        <w:t>表一：2020年度企业基本情况调研表   （企业公章）</w:t>
      </w:r>
    </w:p>
    <w:p>
      <w:pPr>
        <w:widowControl w:val="0"/>
        <w:spacing w:line="240" w:lineRule="auto"/>
        <w:ind w:firstLine="0" w:firstLineChars="0"/>
        <w:jc w:val="center"/>
        <w:rPr>
          <w:rFonts w:ascii="黑体" w:hAnsi="黑体" w:eastAsia="黑体" w:cs="黑体"/>
          <w:bCs/>
          <w:kern w:val="2"/>
          <w:sz w:val="30"/>
          <w:szCs w:val="30"/>
        </w:rPr>
      </w:pPr>
    </w:p>
    <w:tbl>
      <w:tblPr>
        <w:tblStyle w:val="17"/>
        <w:tblW w:w="5000" w:type="pct"/>
        <w:jc w:val="center"/>
        <w:tblLayout w:type="fixed"/>
        <w:tblCellMar>
          <w:top w:w="0" w:type="dxa"/>
          <w:left w:w="0" w:type="dxa"/>
          <w:bottom w:w="0" w:type="dxa"/>
          <w:right w:w="0" w:type="dxa"/>
        </w:tblCellMar>
      </w:tblPr>
      <w:tblGrid>
        <w:gridCol w:w="1654"/>
        <w:gridCol w:w="234"/>
        <w:gridCol w:w="235"/>
        <w:gridCol w:w="235"/>
        <w:gridCol w:w="235"/>
        <w:gridCol w:w="235"/>
        <w:gridCol w:w="235"/>
        <w:gridCol w:w="235"/>
        <w:gridCol w:w="235"/>
        <w:gridCol w:w="235"/>
        <w:gridCol w:w="235"/>
        <w:gridCol w:w="235"/>
        <w:gridCol w:w="235"/>
        <w:gridCol w:w="235"/>
        <w:gridCol w:w="235"/>
        <w:gridCol w:w="235"/>
        <w:gridCol w:w="236"/>
        <w:gridCol w:w="234"/>
        <w:gridCol w:w="148"/>
        <w:gridCol w:w="54"/>
        <w:gridCol w:w="49"/>
        <w:gridCol w:w="1216"/>
        <w:gridCol w:w="691"/>
        <w:gridCol w:w="630"/>
        <w:gridCol w:w="1336"/>
      </w:tblGrid>
      <w:tr>
        <w:tblPrEx>
          <w:tblCellMar>
            <w:top w:w="0" w:type="dxa"/>
            <w:left w:w="0" w:type="dxa"/>
            <w:bottom w:w="0" w:type="dxa"/>
            <w:right w:w="0" w:type="dxa"/>
          </w:tblCellMar>
        </w:tblPrEx>
        <w:trPr>
          <w:trHeight w:val="340"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企业名称</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（全称）</w:t>
            </w:r>
          </w:p>
        </w:tc>
        <w:tc>
          <w:tcPr>
            <w:tcW w:w="8077" w:type="dxa"/>
            <w:gridSpan w:val="24"/>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统一社会</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信用代码</w:t>
            </w: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9"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40"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8"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56" w:type="dxa"/>
            <w:gridSpan w:val="3"/>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7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企业成立时间</w:t>
            </w:r>
          </w:p>
        </w:tc>
        <w:tc>
          <w:tcPr>
            <w:tcW w:w="2006" w:type="dxa"/>
            <w:gridSpan w:val="2"/>
            <w:tcBorders>
              <w:top w:val="nil"/>
              <w:left w:val="nil"/>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年    月</w:t>
            </w: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企业注册地址</w:t>
            </w:r>
            <w:r>
              <w:rPr>
                <w:rFonts w:hint="eastAsia" w:asciiTheme="minorEastAsia" w:hAnsiTheme="minorEastAsia" w:eastAsiaTheme="minorEastAsia" w:cstheme="minorEastAsia"/>
                <w:kern w:val="2"/>
                <w:sz w:val="21"/>
                <w:szCs w:val="21"/>
              </w:rPr>
              <w:t>（具体到县级）</w:t>
            </w:r>
          </w:p>
        </w:tc>
        <w:tc>
          <w:tcPr>
            <w:tcW w:w="4319" w:type="dxa"/>
            <w:gridSpan w:val="20"/>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752"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注册资金</w:t>
            </w:r>
          </w:p>
        </w:tc>
        <w:tc>
          <w:tcPr>
            <w:tcW w:w="2006"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万元</w:t>
            </w: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企业通信地址</w:t>
            </w:r>
          </w:p>
        </w:tc>
        <w:tc>
          <w:tcPr>
            <w:tcW w:w="4075" w:type="dxa"/>
            <w:gridSpan w:val="19"/>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96" w:type="dxa"/>
            <w:gridSpan w:val="3"/>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邮   编</w:t>
            </w:r>
          </w:p>
        </w:tc>
        <w:tc>
          <w:tcPr>
            <w:tcW w:w="2006" w:type="dxa"/>
            <w:gridSpan w:val="2"/>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b/>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企业网址</w:t>
            </w:r>
          </w:p>
        </w:tc>
        <w:tc>
          <w:tcPr>
            <w:tcW w:w="4075" w:type="dxa"/>
            <w:gridSpan w:val="19"/>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96" w:type="dxa"/>
            <w:gridSpan w:val="3"/>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传真</w:t>
            </w:r>
            <w:r>
              <w:rPr>
                <w:rFonts w:hint="eastAsia" w:asciiTheme="minorEastAsia" w:hAnsiTheme="minorEastAsia" w:eastAsiaTheme="minorEastAsia" w:cstheme="minorEastAsia"/>
                <w:kern w:val="2"/>
                <w:sz w:val="21"/>
                <w:szCs w:val="21"/>
              </w:rPr>
              <w:t>（区号）</w:t>
            </w:r>
          </w:p>
        </w:tc>
        <w:tc>
          <w:tcPr>
            <w:tcW w:w="2006" w:type="dxa"/>
            <w:gridSpan w:val="2"/>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b/>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57" w:type="dxa"/>
            <w:gridSpan w:val="9"/>
            <w:tcBorders>
              <w:top w:val="nil"/>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姓   名</w:t>
            </w:r>
          </w:p>
        </w:tc>
        <w:tc>
          <w:tcPr>
            <w:tcW w:w="2118" w:type="dxa"/>
            <w:gridSpan w:val="10"/>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职务</w:t>
            </w:r>
            <w:r>
              <w:rPr>
                <w:rFonts w:hint="eastAsia" w:asciiTheme="minorEastAsia" w:hAnsiTheme="minorEastAsia" w:eastAsiaTheme="minorEastAsia" w:cstheme="minorEastAsia"/>
                <w:kern w:val="2"/>
                <w:sz w:val="21"/>
                <w:szCs w:val="21"/>
              </w:rPr>
              <w:t>（部门）</w:t>
            </w:r>
          </w:p>
        </w:tc>
        <w:tc>
          <w:tcPr>
            <w:tcW w:w="199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电话</w:t>
            </w:r>
            <w:r>
              <w:rPr>
                <w:rFonts w:hint="eastAsia" w:asciiTheme="minorEastAsia" w:hAnsiTheme="minorEastAsia" w:eastAsiaTheme="minorEastAsia" w:cstheme="minorEastAsia"/>
                <w:kern w:val="2"/>
                <w:sz w:val="21"/>
                <w:szCs w:val="21"/>
              </w:rPr>
              <w:t>（区号）</w:t>
            </w:r>
          </w:p>
        </w:tc>
        <w:tc>
          <w:tcPr>
            <w:tcW w:w="200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手   机</w:t>
            </w: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法定代表人</w:t>
            </w:r>
          </w:p>
        </w:tc>
        <w:tc>
          <w:tcPr>
            <w:tcW w:w="1957" w:type="dxa"/>
            <w:gridSpan w:val="9"/>
            <w:tcBorders>
              <w:top w:val="nil"/>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118" w:type="dxa"/>
            <w:gridSpan w:val="10"/>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9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00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联系人</w:t>
            </w:r>
          </w:p>
        </w:tc>
        <w:tc>
          <w:tcPr>
            <w:tcW w:w="1957" w:type="dxa"/>
            <w:gridSpan w:val="9"/>
            <w:tcBorders>
              <w:top w:val="nil"/>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118" w:type="dxa"/>
            <w:gridSpan w:val="10"/>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9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00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填表人</w:t>
            </w:r>
          </w:p>
        </w:tc>
        <w:tc>
          <w:tcPr>
            <w:tcW w:w="1957" w:type="dxa"/>
            <w:gridSpan w:val="9"/>
            <w:tcBorders>
              <w:top w:val="nil"/>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118" w:type="dxa"/>
            <w:gridSpan w:val="10"/>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9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00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企业所属行业</w:t>
            </w:r>
          </w:p>
        </w:tc>
        <w:tc>
          <w:tcPr>
            <w:tcW w:w="4075"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9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4"/>
              </w:rPr>
              <w:t>行业代码</w:t>
            </w:r>
            <w:r>
              <w:rPr>
                <w:rFonts w:hint="eastAsia" w:asciiTheme="minorEastAsia" w:hAnsiTheme="minorEastAsia" w:eastAsiaTheme="minorEastAsia" w:cstheme="minorEastAsia"/>
                <w:kern w:val="2"/>
                <w:sz w:val="21"/>
                <w:szCs w:val="21"/>
              </w:rPr>
              <w:t>（见企业</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所属行业分类表）</w:t>
            </w:r>
          </w:p>
        </w:tc>
        <w:tc>
          <w:tcPr>
            <w:tcW w:w="200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CellMar>
            <w:top w:w="0" w:type="dxa"/>
            <w:left w:w="0" w:type="dxa"/>
            <w:bottom w:w="0" w:type="dxa"/>
            <w:right w:w="0" w:type="dxa"/>
          </w:tblCellMar>
        </w:tblPrEx>
        <w:trPr>
          <w:trHeight w:val="340" w:hRule="atLeast"/>
          <w:jc w:val="center"/>
        </w:trPr>
        <w:tc>
          <w:tcPr>
            <w:tcW w:w="1689" w:type="dxa"/>
            <w:vMerge w:val="restart"/>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主营业务领域</w:t>
            </w:r>
            <w:r>
              <w:rPr>
                <w:rFonts w:hint="eastAsia" w:asciiTheme="minorEastAsia" w:hAnsiTheme="minorEastAsia" w:eastAsiaTheme="minorEastAsia" w:cstheme="minorEastAsia"/>
                <w:kern w:val="2"/>
                <w:sz w:val="21"/>
                <w:szCs w:val="21"/>
              </w:rPr>
              <w:t>（请填写主营业务的行业代码及其占比，并按降序排列，具体请参见企业所属行业分类表）</w:t>
            </w:r>
          </w:p>
        </w:tc>
        <w:tc>
          <w:tcPr>
            <w:tcW w:w="4075"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主营1</w:t>
            </w:r>
          </w:p>
        </w:tc>
        <w:tc>
          <w:tcPr>
            <w:tcW w:w="199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200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CellMar>
            <w:top w:w="0" w:type="dxa"/>
            <w:left w:w="0" w:type="dxa"/>
            <w:bottom w:w="0" w:type="dxa"/>
            <w:right w:w="0" w:type="dxa"/>
          </w:tblCellMar>
        </w:tblPrEx>
        <w:trPr>
          <w:trHeight w:val="340" w:hRule="atLeast"/>
          <w:jc w:val="center"/>
        </w:trPr>
        <w:tc>
          <w:tcPr>
            <w:tcW w:w="1689" w:type="dxa"/>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4075" w:type="dxa"/>
            <w:gridSpan w:val="19"/>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主营2</w:t>
            </w:r>
          </w:p>
        </w:tc>
        <w:tc>
          <w:tcPr>
            <w:tcW w:w="19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20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CellMar>
            <w:top w:w="0" w:type="dxa"/>
            <w:left w:w="0" w:type="dxa"/>
            <w:bottom w:w="0" w:type="dxa"/>
            <w:right w:w="0" w:type="dxa"/>
          </w:tblCellMar>
        </w:tblPrEx>
        <w:trPr>
          <w:trHeight w:val="340" w:hRule="atLeast"/>
          <w:jc w:val="center"/>
        </w:trPr>
        <w:tc>
          <w:tcPr>
            <w:tcW w:w="1689" w:type="dxa"/>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4075"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主营3</w:t>
            </w:r>
          </w:p>
        </w:tc>
        <w:tc>
          <w:tcPr>
            <w:tcW w:w="199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200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CellMar>
            <w:top w:w="0" w:type="dxa"/>
            <w:left w:w="0" w:type="dxa"/>
            <w:bottom w:w="0" w:type="dxa"/>
            <w:right w:w="0" w:type="dxa"/>
          </w:tblCellMar>
        </w:tblPrEx>
        <w:trPr>
          <w:trHeight w:val="340" w:hRule="atLeast"/>
          <w:jc w:val="center"/>
        </w:trPr>
        <w:tc>
          <w:tcPr>
            <w:tcW w:w="1689" w:type="dxa"/>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4075"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主营4</w:t>
            </w:r>
          </w:p>
        </w:tc>
        <w:tc>
          <w:tcPr>
            <w:tcW w:w="199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200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CellMar>
            <w:top w:w="0" w:type="dxa"/>
            <w:left w:w="0" w:type="dxa"/>
            <w:bottom w:w="0" w:type="dxa"/>
            <w:right w:w="0" w:type="dxa"/>
          </w:tblCellMar>
        </w:tblPrEx>
        <w:trPr>
          <w:trHeight w:val="340" w:hRule="atLeast"/>
          <w:jc w:val="center"/>
        </w:trPr>
        <w:tc>
          <w:tcPr>
            <w:tcW w:w="1689" w:type="dxa"/>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4075"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主营5</w:t>
            </w:r>
          </w:p>
        </w:tc>
        <w:tc>
          <w:tcPr>
            <w:tcW w:w="199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200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主要产品或</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服务名称</w:t>
            </w:r>
          </w:p>
        </w:tc>
        <w:tc>
          <w:tcPr>
            <w:tcW w:w="8077" w:type="dxa"/>
            <w:gridSpan w:val="24"/>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指标</w:t>
            </w:r>
            <w:r>
              <w:rPr>
                <w:rFonts w:hint="eastAsia" w:asciiTheme="minorEastAsia" w:hAnsiTheme="minorEastAsia" w:eastAsiaTheme="minorEastAsia" w:cstheme="minorEastAsia"/>
                <w:kern w:val="2"/>
                <w:sz w:val="21"/>
                <w:szCs w:val="21"/>
              </w:rPr>
              <w:t>（万元）</w:t>
            </w:r>
          </w:p>
        </w:tc>
        <w:tc>
          <w:tcPr>
            <w:tcW w:w="134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营收总额</w:t>
            </w:r>
          </w:p>
        </w:tc>
        <w:tc>
          <w:tcPr>
            <w:tcW w:w="136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利润总额</w:t>
            </w:r>
          </w:p>
        </w:tc>
        <w:tc>
          <w:tcPr>
            <w:tcW w:w="1346"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税后净利润</w:t>
            </w:r>
          </w:p>
        </w:tc>
        <w:tc>
          <w:tcPr>
            <w:tcW w:w="1346"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资产总额</w:t>
            </w:r>
          </w:p>
        </w:tc>
        <w:tc>
          <w:tcPr>
            <w:tcW w:w="1348"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固定资产</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净值</w:t>
            </w:r>
          </w:p>
        </w:tc>
        <w:tc>
          <w:tcPr>
            <w:tcW w:w="1328"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净资产总额</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spacing w:val="-6"/>
                <w:kern w:val="2"/>
                <w:sz w:val="21"/>
                <w:szCs w:val="21"/>
              </w:rPr>
              <w:t>（所有者权益）</w:t>
            </w: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2020年</w:t>
            </w:r>
          </w:p>
        </w:tc>
        <w:tc>
          <w:tcPr>
            <w:tcW w:w="134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6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6"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6"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8"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8"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2019年</w:t>
            </w:r>
          </w:p>
        </w:tc>
        <w:tc>
          <w:tcPr>
            <w:tcW w:w="134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6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6"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6"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8"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8"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指标</w:t>
            </w:r>
          </w:p>
        </w:tc>
        <w:tc>
          <w:tcPr>
            <w:tcW w:w="134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缴税总额</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（万元）</w:t>
            </w:r>
          </w:p>
        </w:tc>
        <w:tc>
          <w:tcPr>
            <w:tcW w:w="136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研发费用</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（万元）</w:t>
            </w:r>
          </w:p>
        </w:tc>
        <w:tc>
          <w:tcPr>
            <w:tcW w:w="1346"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出口总额</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（万美元）</w:t>
            </w:r>
          </w:p>
        </w:tc>
        <w:tc>
          <w:tcPr>
            <w:tcW w:w="1346"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spacing w:val="-20"/>
                <w:kern w:val="2"/>
                <w:sz w:val="24"/>
              </w:rPr>
            </w:pPr>
            <w:r>
              <w:rPr>
                <w:rFonts w:hint="eastAsia" w:asciiTheme="minorEastAsia" w:hAnsiTheme="minorEastAsia" w:eastAsiaTheme="minorEastAsia" w:cstheme="minorEastAsia"/>
                <w:spacing w:val="-20"/>
                <w:kern w:val="2"/>
                <w:sz w:val="24"/>
              </w:rPr>
              <w:t>海外收入</w:t>
            </w:r>
            <w:r>
              <w:rPr>
                <w:rFonts w:hint="eastAsia" w:asciiTheme="minorEastAsia" w:hAnsiTheme="minorEastAsia" w:eastAsiaTheme="minorEastAsia" w:cstheme="minorEastAsia"/>
                <w:spacing w:val="-6"/>
                <w:kern w:val="2"/>
                <w:sz w:val="21"/>
                <w:szCs w:val="21"/>
              </w:rPr>
              <w:t>（不含出口）（万美元）</w:t>
            </w:r>
          </w:p>
        </w:tc>
        <w:tc>
          <w:tcPr>
            <w:tcW w:w="1348"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年末员工</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人数</w:t>
            </w:r>
            <w:r>
              <w:rPr>
                <w:rFonts w:hint="eastAsia" w:asciiTheme="minorEastAsia" w:hAnsiTheme="minorEastAsia" w:eastAsiaTheme="minorEastAsia" w:cstheme="minorEastAsia"/>
                <w:kern w:val="2"/>
                <w:sz w:val="21"/>
                <w:szCs w:val="21"/>
              </w:rPr>
              <w:t>（人）</w:t>
            </w:r>
          </w:p>
        </w:tc>
        <w:tc>
          <w:tcPr>
            <w:tcW w:w="1328"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年末研发</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人员</w:t>
            </w:r>
            <w:r>
              <w:rPr>
                <w:rFonts w:hint="eastAsia" w:asciiTheme="minorEastAsia" w:hAnsiTheme="minorEastAsia" w:eastAsiaTheme="minorEastAsia" w:cstheme="minorEastAsia"/>
                <w:kern w:val="2"/>
                <w:sz w:val="21"/>
                <w:szCs w:val="21"/>
              </w:rPr>
              <w:t>（人）</w:t>
            </w: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2020年</w:t>
            </w:r>
          </w:p>
        </w:tc>
        <w:tc>
          <w:tcPr>
            <w:tcW w:w="134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6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6"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6"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8"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8"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CellMar>
            <w:top w:w="0" w:type="dxa"/>
            <w:left w:w="0" w:type="dxa"/>
            <w:bottom w:w="0" w:type="dxa"/>
            <w:right w:w="0" w:type="dxa"/>
          </w:tblCellMar>
        </w:tblPrEx>
        <w:trPr>
          <w:trHeight w:val="340" w:hRule="atLeast"/>
          <w:jc w:val="center"/>
        </w:trPr>
        <w:tc>
          <w:tcPr>
            <w:tcW w:w="1689"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2019年</w:t>
            </w:r>
          </w:p>
        </w:tc>
        <w:tc>
          <w:tcPr>
            <w:tcW w:w="134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6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6"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6"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48"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8"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bl>
    <w:p>
      <w:pPr>
        <w:widowControl w:val="0"/>
        <w:spacing w:line="240" w:lineRule="auto"/>
        <w:ind w:firstLine="0" w:firstLineChars="0"/>
        <w:jc w:val="center"/>
        <w:rPr>
          <w:rFonts w:ascii="黑体" w:hAnsi="黑体" w:eastAsia="黑体" w:cs="黑体"/>
          <w:bCs/>
          <w:kern w:val="2"/>
          <w:sz w:val="30"/>
          <w:szCs w:val="30"/>
        </w:rPr>
      </w:pPr>
      <w:r>
        <w:rPr>
          <w:rFonts w:hint="eastAsia" w:ascii="黑体" w:hAnsi="Calibri" w:eastAsia="黑体" w:cs="Times New Roman"/>
          <w:bCs/>
          <w:kern w:val="2"/>
          <w:sz w:val="30"/>
        </w:rPr>
        <w:br w:type="page"/>
      </w:r>
      <w:r>
        <w:rPr>
          <w:rFonts w:hint="eastAsia" w:ascii="黑体" w:hAnsi="黑体" w:eastAsia="黑体" w:cs="黑体"/>
          <w:bCs/>
          <w:kern w:val="2"/>
          <w:sz w:val="30"/>
          <w:szCs w:val="30"/>
        </w:rPr>
        <w:t>表二：2020年度企业发展与管理情况调研表</w:t>
      </w:r>
    </w:p>
    <w:p>
      <w:pPr>
        <w:widowControl w:val="0"/>
        <w:spacing w:line="240" w:lineRule="auto"/>
        <w:ind w:firstLine="0" w:firstLineChars="0"/>
        <w:jc w:val="center"/>
        <w:rPr>
          <w:rFonts w:ascii="黑体" w:hAnsi="黑体" w:eastAsia="黑体" w:cs="黑体"/>
          <w:bCs/>
          <w:kern w:val="2"/>
          <w:sz w:val="30"/>
          <w:szCs w:val="30"/>
        </w:rPr>
      </w:pP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一、企业投资和发展战略情况</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1.截至2020年底，企业控股的上市公司数量为</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家，参股的上市公司数量为</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家。</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2.2020年企业新增投资资金主要来源（可多选）：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□自有资金   □引入战略投资者   □股票市场融资   □债券市场融资</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□银行贷款   □民间借贷         □政府资助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3.2020年企业发生了以下哪些重大事件（可多选)：</w:t>
      </w:r>
    </w:p>
    <w:p>
      <w:pPr>
        <w:widowControl w:val="0"/>
        <w:spacing w:line="500" w:lineRule="exact"/>
        <w:ind w:firstLine="630" w:firstLineChars="300"/>
        <w:rPr>
          <w:rFonts w:asciiTheme="minorEastAsia" w:hAnsiTheme="minorEastAsia" w:eastAsiaTheme="minorEastAsia" w:cstheme="minorEastAsia"/>
          <w:sz w:val="21"/>
          <w:szCs w:val="21"/>
          <w:shd w:val="pct10" w:color="auto" w:fill="FFFFFF"/>
        </w:rPr>
      </w:pPr>
      <w:r>
        <w:rPr>
          <w:rFonts w:hint="eastAsia" w:asciiTheme="minorEastAsia" w:hAnsiTheme="minorEastAsia" w:eastAsiaTheme="minorEastAsia" w:cstheme="minorEastAsia"/>
          <w:kern w:val="2"/>
          <w:sz w:val="21"/>
          <w:szCs w:val="21"/>
        </w:rPr>
        <w:t>□企业上市（□主板 □科创板 □中小板 □创业板 □新三板 □境外）</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□国际并购（最大单项并购规模为：</w:t>
      </w:r>
      <w:r>
        <w:rPr>
          <w:rFonts w:hint="eastAsia" w:asciiTheme="minorEastAsia" w:hAnsiTheme="minorEastAsia" w:eastAsiaTheme="minorEastAsia" w:cstheme="minorEastAsia"/>
          <w:kern w:val="2"/>
          <w:sz w:val="21"/>
          <w:szCs w:val="21"/>
        </w:rPr>
        <w:sym w:font="Wingdings 2" w:char="00A3"/>
      </w:r>
      <w:r>
        <w:rPr>
          <w:rFonts w:hint="eastAsia" w:asciiTheme="minorEastAsia" w:hAnsiTheme="minorEastAsia" w:eastAsiaTheme="minorEastAsia" w:cstheme="minorEastAsia"/>
          <w:kern w:val="2"/>
          <w:sz w:val="21"/>
          <w:szCs w:val="21"/>
        </w:rPr>
        <w:t xml:space="preserve">100万美元以下   □100万-500万美元   </w:t>
      </w:r>
    </w:p>
    <w:p>
      <w:pPr>
        <w:widowControl w:val="0"/>
        <w:spacing w:line="500" w:lineRule="exact"/>
        <w:ind w:firstLine="3990" w:firstLineChars="19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□500万-1000万美元   □1000万-5000万美元</w:t>
      </w:r>
    </w:p>
    <w:p>
      <w:pPr>
        <w:widowControl w:val="0"/>
        <w:spacing w:line="500" w:lineRule="exact"/>
        <w:ind w:firstLine="3990" w:firstLineChars="19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□5000万美元以上）</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□国内并购（最大单项并购规模为：□500万元以下  □500万-1000万元</w:t>
      </w:r>
    </w:p>
    <w:p>
      <w:pPr>
        <w:widowControl w:val="0"/>
        <w:spacing w:line="500" w:lineRule="exact"/>
        <w:ind w:firstLine="3990" w:firstLineChars="19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sym w:font="Wingdings 2" w:char="00A3"/>
      </w:r>
      <w:r>
        <w:rPr>
          <w:rFonts w:hint="eastAsia" w:asciiTheme="minorEastAsia" w:hAnsiTheme="minorEastAsia" w:eastAsiaTheme="minorEastAsia" w:cstheme="minorEastAsia"/>
          <w:kern w:val="2"/>
          <w:sz w:val="21"/>
          <w:szCs w:val="21"/>
        </w:rPr>
        <w:t>1000万-5000万元   □5000万-2亿元</w:t>
      </w:r>
    </w:p>
    <w:p>
      <w:pPr>
        <w:widowControl w:val="0"/>
        <w:spacing w:line="500" w:lineRule="exact"/>
        <w:ind w:firstLine="3990" w:firstLineChars="19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□2亿-5亿元    □5亿元以上）</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4.2020年，企业投资信心和投资意愿发生哪些变化？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□企业具有独特竞争优势，经济下行压力下继续保持积极投资</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□企业运行较为平稳，但投资意愿不强</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□企业内外部风险加大，减少投资，优先确保当前生产经营稳定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□企业投资摊子铺得较大，负债较高，经营困难，无力进行投资</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5.企业参与发展混合所有制的情况（可多选）：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□已控股国有企业       </w:t>
      </w:r>
      <w:r>
        <w:rPr>
          <w:rFonts w:hint="eastAsia" w:asciiTheme="minorEastAsia" w:hAnsiTheme="minorEastAsia" w:eastAsiaTheme="minorEastAsia" w:cstheme="minorEastAsia"/>
          <w:kern w:val="2"/>
          <w:sz w:val="21"/>
          <w:szCs w:val="21"/>
        </w:rPr>
        <w:sym w:font="Wingdings 2" w:char="00A3"/>
      </w:r>
      <w:r>
        <w:rPr>
          <w:rFonts w:hint="eastAsia" w:asciiTheme="minorEastAsia" w:hAnsiTheme="minorEastAsia" w:eastAsiaTheme="minorEastAsia" w:cstheme="minorEastAsia"/>
          <w:kern w:val="2"/>
          <w:sz w:val="21"/>
          <w:szCs w:val="21"/>
        </w:rPr>
        <w:t>已参股国有企业           □与国有企业共同发起设立新企业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□国有资本入股本企业   □尚未参与，但有参与意向   □尚未参与，也无参与意向</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如已参与，进入的主要领域（可多选）：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□电力       □石油石化   □天然气     □铁路   □民航   □通信   □军工</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□冶金矿业   □交通运输   □仓储物流   □建筑   □商贸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6.企业参与“两新一重”建设情况（可多选）：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□新型基础设施建设   □新型城镇化建设   □交通、水利等重大工程建设</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7.2020年企业参与了以下哪些区域协调发展（可多选）：</w:t>
      </w:r>
    </w:p>
    <w:p>
      <w:pPr>
        <w:widowControl w:val="0"/>
        <w:spacing w:line="500" w:lineRule="exact"/>
        <w:ind w:firstLine="630" w:firstLineChars="300"/>
        <w:rPr>
          <w:rFonts w:asciiTheme="minorEastAsia" w:hAnsiTheme="minorEastAsia" w:eastAsiaTheme="minorEastAsia" w:cstheme="minorEastAsia"/>
          <w:spacing w:val="-11"/>
          <w:kern w:val="2"/>
          <w:sz w:val="21"/>
          <w:szCs w:val="21"/>
        </w:rPr>
      </w:pPr>
      <w:r>
        <w:rPr>
          <w:rFonts w:hint="eastAsia" w:asciiTheme="minorEastAsia" w:hAnsiTheme="minorEastAsia" w:eastAsiaTheme="minorEastAsia" w:cstheme="minorEastAsia"/>
          <w:kern w:val="2"/>
          <w:sz w:val="21"/>
          <w:szCs w:val="21"/>
        </w:rPr>
        <w:t xml:space="preserve">□东北振兴           □西部大开发       </w:t>
      </w:r>
      <w:r>
        <w:rPr>
          <w:rFonts w:hint="eastAsia" w:asciiTheme="minorEastAsia" w:hAnsiTheme="minorEastAsia" w:eastAsiaTheme="minorEastAsia" w:cstheme="minorEastAsia"/>
          <w:kern w:val="2"/>
          <w:sz w:val="21"/>
          <w:szCs w:val="21"/>
        </w:rPr>
        <w:sym w:font="Wingdings 2" w:char="00A3"/>
      </w:r>
      <w:r>
        <w:rPr>
          <w:rFonts w:hint="eastAsia" w:asciiTheme="minorEastAsia" w:hAnsiTheme="minorEastAsia" w:eastAsiaTheme="minorEastAsia" w:cstheme="minorEastAsia"/>
          <w:kern w:val="2"/>
          <w:sz w:val="21"/>
          <w:szCs w:val="21"/>
        </w:rPr>
        <w:t>中部崛起         □</w:t>
      </w:r>
      <w:r>
        <w:rPr>
          <w:rFonts w:hint="eastAsia" w:asciiTheme="minorEastAsia" w:hAnsiTheme="minorEastAsia" w:eastAsiaTheme="minorEastAsia" w:cstheme="minorEastAsia"/>
          <w:spacing w:val="-11"/>
          <w:kern w:val="2"/>
          <w:sz w:val="21"/>
          <w:szCs w:val="21"/>
        </w:rPr>
        <w:t>革命老区、民族地区发展</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□边疆地区建设       □京津冀协同发展   □长江经济带发展   □粤港澳大湾区建设</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□长三角一体化发展   □雄安新区建设</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8.2020年企业是否参与乡村振兴战略：□是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如已参与，参与的形式是（可多选）：</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□促进产业兴旺，带动农民增收    □引进优秀人才，培育新型农民</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□保护青山绿水，美化人居环境    □繁荣农村文化，培育文明新风</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□强化基层党建，提升治理能力    □参与精准脱贫，改善民生保障</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如选否，是否有意进入：□是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9.2020年企业是否参与污染防治攻坚战：□是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如已参与，参与的形式是（可多选）：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□调整产业结构，淘汰落后产能         □引进先进环保技术和装备，加强治污减排</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□加强资源节约与利用，降低能耗物耗   □加强绿色产品创新，建设绿色工厂</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□积极投资节能环保产业、清洁生产产业、清洁能源产业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如选否，是否有意参与：□是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10.企业是否进入金融领域：□是   □否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如已进入，参与的主要金融机构类型（可多选）：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□银行       □证券公司   □保险公司       □信托公司       □基金公司</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□投资公司   □财务公司   □互联网金融     □小额贷款公司   □担保公司</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□典当行     □融资租赁   □资产管理公司   □其他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如选否，是否有意进入：□是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11.2020年企业在防范化解风险方面已采取或拟采取的防范措施是（可多选）：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□降低财务杠杆，提高直接融资比重，减少融资成本与债务负担</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□专注实体经济   □优化资产结构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12.2020年企业是否已出现风险：□是   □否。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如选是，出现的风险是（可多选）：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□银行抽贷断贷   □高比例股权质押触及预警线或平仓线   □债券、信托违约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□互保、联保出现连带风险   □民间借贷纠纷   □部分资产被冻结或查封</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□在金融领域出现违法违规行为被监管部门处罚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13.企业是否已实现常态化疫情防控下正常生产经营：□是   □否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如选“是”，2020年企业整体运营表现：</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□低于预期   □与2019年持平   □小幅上涨   □逆势上涨</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14.应对常态化疫情防控，企业采取的主要措施（可多选）：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□减员增效，控制成本         □产品（服务）转型       □数字化转型</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□加大融资力度，扩大产能</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2"/>
          <w:sz w:val="21"/>
          <w:szCs w:val="21"/>
        </w:rPr>
        <w:t xml:space="preserve">  □降价促销扩大市场份额   □关闭部分业务</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□加大新领域投资</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15.全球疫情蔓延是否对企业产生影响：□是   □否； 如选“是”，具体影响有（可多选）：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□海外工厂仍处于停产、半停产状态   □海外工厂零部件供应不足</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□产品需求量/销量下降</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2"/>
          <w:sz w:val="21"/>
          <w:szCs w:val="21"/>
        </w:rPr>
        <w:t xml:space="preserve">         □出口量激增，产能由满足内需市场转向满足国际市场</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16.常态化疫情防控下，企业对2021年表现的判断：</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□有所下降   □持平   □有所增长   □有望实现大幅增长</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17.企业对加快构建以国内大循环为主体、国内国际双循环相互促进新发展格局的认识及所采取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措施。构建新发展格局给企业带来的机遇有（可多选）：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□国内超大规模市场带来的机遇         □实施国际化、融入全球经济带来的机遇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□科技创新带来的机遇                 □新型城镇化和城乡区域协调发展带来的机遇</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□重大工程、重大项目建设带来的机遇   □消费潜力释放带来的机遇</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□金融更好服务实体经济带来的机遇     □构建现代物流体系带来的机遇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构建新发展格局中企业面临的挑战有（可多选）：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□逆全球化的冲击     □新冠肺炎疫情持续蔓延       □产业链、供应链风险加大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□科技竞争日益加剧   □我国生产体系内部循环不畅   □供求脱节，国内有效需求不足</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□企业自身在创新、人才、管理等方面尚存在短板      □其他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企业是否针对新发展格局调整企业的发展战略： □是   □否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企业为融入新发展格局采取的主要措施（可多选）：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□进一步加强创新，参与或实施关键领域核心技术攻坚</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□实施数字化转型，培育新业态、新模式</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□积极扩大有效投资，实现自身结构调整     □聚焦实业、做精主业，防范化解风险</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□充分利用国内国际两个市场两种资源，实现高质量引进来和高水平走出去</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□积极参与新型城镇化和城乡区域协调发展   □其他</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二、企业治理和守法诚信经营情况</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1.企业依法合规经营的情况（可多选）：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□已执行现代企业制度，确保依法决策、民主决策、科学决策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□已推进厂务公开和民主管理，妥善处理劳动争议，在法治框架内构建和谐劳动关系</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□已形成讲法治、讲规则、讲诚信的企业法治文化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□已建立健全合同审核、决策论证等相关环节法律风险控制体系和预警防范机制</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□都没有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2.企业信用建设的举措（可多选）：</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□建立企业诚信文化   □建立企业信用制度体系</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□开展信用修复       □尚未采取任何举措</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3.企业信用制度体系建设情况（可多选）：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□已建立信息披露制度       □已建立信用承诺制度       □已建立遵守商业道德制度</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□已建立守法合规经营制度   □已建立预防财务违规制度   □已建立标准自我声明制度</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□已建立内部信用奖惩制度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4.企业诚信经营的内容包括（可多选）：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□依法依规开展企业生产经营   □加强质量管理，向客户提供优质产品和服务</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□与股东、投资人等利益相关者充分沟通，保护各方权益</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□维护员工各项权益   □保护环境、参与社会公益事业   □加强廉洁自律</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5.企业是否参与商协会开展的行业自律、商会企业联合自律等活动： □是   □否；</w:t>
      </w:r>
    </w:p>
    <w:p>
      <w:pPr>
        <w:widowControl w:val="0"/>
        <w:spacing w:line="500" w:lineRule="exact"/>
        <w:ind w:firstLine="594" w:firstLineChars="300"/>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kern w:val="2"/>
          <w:sz w:val="21"/>
          <w:szCs w:val="21"/>
        </w:rPr>
        <w:t>如上述题目选择“是”，企业是否行业自律、商会企业联合自律发起或牵头单位：□是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6.企业主要负责人是否为中共党员：□是   □否</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企业的党员出资人在企业党组织中担任何种职务：</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□书记   □副书记   □支部委员   □不担任</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7.企业是否配备专职党务工作者：□是   □否</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企业专职党务工作者来源（可多选）：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□党政机关   □国有企业事业单位   □部队   □其他</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8.企业党员在员工总数中的占比：</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□0-10%   □10%-20%   □20%-40%   □40%-60%   □60%以上</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企业高管中党员占比：</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□0-10%   □10%-20%   □20%-40%   □40%-60%   □60%-80%   □80%以上</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流动党员在党员总数中的占比：</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□0-10%   □10%-20%   □20%-40%   □40%-60%   □60%-80%   □80%以上</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9.您认为目前民营企业党建工作需要获得哪些帮助（可多选）？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□增加党员发展指标       □参加经验交流和培训活动         □增加党组织活动经费补贴</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□上级加强党建工作指导   □宣传推广企业党建工作先进经验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10.2020年企业是否发布社会责任报告：□是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11.2020年企业是否参与社会捐赠：□是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如选“是”，企业2020年捐款、捐物总价值</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万元。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12.2020年企业是否参与“万企帮万村”精准扶贫：□是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如已参与，参与的形式是（可多选）：□产业扶贫   □就业扶贫   □公益扶贫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13.企业设立法律机构情况：</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□有法务部等专设法律机构   □没有专门的机构，但有专职法律员工</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□聘请常年法律顾问         □以上情况都没有</w:t>
      </w:r>
    </w:p>
    <w:p>
      <w:pPr>
        <w:widowControl w:val="0"/>
        <w:spacing w:line="500" w:lineRule="exact"/>
        <w:ind w:firstLine="42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2"/>
          <w:sz w:val="21"/>
          <w:szCs w:val="21"/>
        </w:rPr>
        <w:t>14.</w:t>
      </w:r>
      <w:r>
        <w:rPr>
          <w:rFonts w:hint="eastAsia" w:asciiTheme="minorEastAsia" w:hAnsiTheme="minorEastAsia" w:eastAsiaTheme="minorEastAsia" w:cstheme="minorEastAsia"/>
          <w:bCs/>
          <w:kern w:val="2"/>
          <w:sz w:val="21"/>
          <w:szCs w:val="21"/>
        </w:rPr>
        <w:t>企业遭遇法律纠纷时一般采用什么途径解决？（可多选）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□协商   □调解   □仲裁   □诉讼   □其他</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三、企业创新发展情况</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1.从外部获取的经费支持占企业2020年度研发费用的比例是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%；企业支付高校、科研院所</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等外单位的研发经费占企业2020年度研发费用的比例是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2.2020年，企业共申请国内专利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项，其中发明专利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项；国内专利授权量</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项，其中</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发明专利授权量</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3.截至2020年底，企业共有国内有效专利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项，其中有效发明专利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项；共有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外国有效专利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项，其中有效发明专利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4.截至2020年底，企业共有国内有效商标注册量</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件，马德里国际商标有效注册量</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件。</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5.截至2020年底，企业共主导或参与国际标准</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项、国家标准</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项、行业标准</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团体标准</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项。企业在“企业标准信息公共服务平台</w:t>
      </w:r>
      <w:r>
        <w:fldChar w:fldCharType="begin"/>
      </w:r>
      <w:r>
        <w:instrText xml:space="preserve"> HYPERLINK "http://www.cpbz.gov.cn" </w:instrText>
      </w:r>
      <w:r>
        <w:fldChar w:fldCharType="separate"/>
      </w:r>
      <w:r>
        <w:rPr>
          <w:rStyle w:val="22"/>
          <w:rFonts w:hint="eastAsia" w:asciiTheme="minorEastAsia" w:hAnsiTheme="minorEastAsia" w:eastAsiaTheme="minorEastAsia" w:cstheme="minorEastAsia"/>
          <w:sz w:val="21"/>
          <w:szCs w:val="21"/>
        </w:rPr>
        <w:t>http://www.cpbz.gov.cn”公开标准</w:t>
      </w:r>
      <w:r>
        <w:rPr>
          <w:rStyle w:val="22"/>
          <w:rFonts w:hint="eastAsia" w:asciiTheme="minorEastAsia" w:hAnsiTheme="minorEastAsia" w:eastAsiaTheme="minorEastAsia" w:cstheme="minorEastAsia"/>
          <w:sz w:val="21"/>
          <w:szCs w:val="21"/>
        </w:rPr>
        <w:fldChar w:fldCharType="end"/>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6.企业本体及其下属公司中，有___个高新技术企业，有____个科技型中小企业。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7.企业参与以下哪种国家科技创新基地建设？（可多选）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□国家重点实验室   □国家工程研究中心   □领域类国家科技创新中心   □均无</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如参与，相关国家科技创新基地名称是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8.企业拥有经认定的省部级研发机构</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个；如有，机构名称分别是：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 xml:space="preserve"> </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9.企业近5年是否获得位列获奖单位前三名的国家级科技奖励？□是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如选“是”，奖励成果名称是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10.企业2020年新产品销售收入为</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万元，新产品出口为</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万美元。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11.企业关键技术来源（可多选）：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□自主开发与研制   □产学研合作   □引进技术或人才   □企业并购或合资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12.企业是否与科研院所、高等院校开展合作：□是   □否</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如开展合作，形式是（可多选）：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□共建研发机构   □共建学科专业   □开展项目合作   □其它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开展合作对企业技术创新支持作用：□很大   □一般   □无</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未开展合作原因（可多选）：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□企业不需要   □科研院所和高校无积极性   □信息不对称   □其它</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影响企业产学研合作的主要因素有哪些（可多选）：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□对企业研发支持力度不大   □高校院所技术与市场脱节   □技术转让费用高</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□与高校院所沟通不畅       □科技成果的所有权不清晰   □其它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13.企业科技成果转化资金主要来源（可多选）：</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□自筹资金           □政府资金   □合作方资金投入   □银行贷款</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□风险投资公司投入   □以上都是</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企业在成果转化方面已享受的政府扶持政策有哪些（可多选）：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□专项资金支持或财政补贴   □税收减免         □知识产权质押贷款</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□人才引进与培养           □用地等要素保障   □信用担保、科技保险</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14.哪些政府政策在企业创新中发挥较大作用（可多选）：</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□减免税收政策       □政府采购   □知识产权保护</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□科技人才奖励政策   □产业政策   □其它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15.制约企业科技创新的主要外部因素有哪些（可多选）：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□相关政策落实不到位   □技术市场不健全         □缺乏公平的竞争环境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□技术成果产业化困难   □缺少技术创新服务平台   □知识产权保护力度不够</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□支持创新的氛围不够   □外部市场不确定性大     □其他（请说明）</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16.企业数字化转型现状：</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战略层面 □已制定数字化转型战略规划   □着手制定数字化转型战略规划   □尚未考虑</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管理层面 □已根据数字化转型需要进行整体布局   □已进行局部布局   □尚未布局</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人才层面 □已有数字化专业人才   □拟培养和引进数字化专业人才   □尚未考虑</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业务层面 □已实现降本增效   □成效不明显   □投入期尚未见成效   □尚未投入</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四、企业“走出去”和参与“一带一路”建设的情况</w:t>
      </w:r>
    </w:p>
    <w:p>
      <w:pPr>
        <w:widowControl w:val="0"/>
        <w:spacing w:afterLines="50"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1．企业海外投资的国家（地区）及经营类型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116"/>
        <w:gridCol w:w="2116"/>
        <w:gridCol w:w="2116"/>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地区</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已投资</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具体国家</w:t>
            </w:r>
          </w:p>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和地区</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境外业务</w:t>
            </w:r>
          </w:p>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所属行业和代码</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已开展的经营类型</w:t>
            </w:r>
          </w:p>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（填写代号）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亚洲</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欧洲</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北美洲</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南美洲</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非洲</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大洋洲</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bl>
    <w:p>
      <w:pPr>
        <w:widowControl w:val="0"/>
        <w:spacing w:beforeLines="50"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（请在“已投资”列打勾；在“具体国家或地区”列填写名称；在“境外业务所属行业和代码”列，请按照《企业所属行业分类表》填报行业代码；在“已开展的经营类型”列填写代号：①对外投资办厂  ②进行海外并购  ③境外加工装配  ④境外资源开发  ⑤设立境外研发中心  ⑥建立国际营销网络和物流服务网络  ⑦从事国际农业合资合作 ⑧建设境外经济贸易合作区  ⑨其他</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2.企业共有海外投资企业（项目） </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家（项）。</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3.企业是否在“一带一路”有投资项目或承包工程：</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丝绸之路经济带（一带）：□是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21世纪海上丝绸之路（一路）：□是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4.未来三年企业是否在“一带一路”有投资意向：□是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如果选是，计划投资区域（可多选）： □一带</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□一路</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5.企业“走出去”的主要形式（可多选）：</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□对外直接投资（投资方式：□新设</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□并购）</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□对外工程承包</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□对外劳务合作</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□产品和服务出口</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6.企业“走出去”的主要动因（可多选）：</w:t>
      </w:r>
    </w:p>
    <w:p>
      <w:pPr>
        <w:widowControl w:val="0"/>
        <w:spacing w:line="500" w:lineRule="exact"/>
        <w:ind w:firstLine="420"/>
        <w:rPr>
          <w:rFonts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kern w:val="2"/>
          <w:sz w:val="21"/>
          <w:szCs w:val="21"/>
        </w:rPr>
        <w:t xml:space="preserve">  □拓展国际市场</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 xml:space="preserve">□获取国外原材料等资源             </w:t>
      </w:r>
      <w:r>
        <w:rPr>
          <w:rFonts w:hint="eastAsia" w:asciiTheme="minorEastAsia" w:hAnsiTheme="minorEastAsia" w:eastAsiaTheme="minorEastAsia" w:cstheme="minorEastAsia"/>
          <w:bCs/>
          <w:w w:val="200"/>
          <w:kern w:val="2"/>
          <w:sz w:val="21"/>
          <w:szCs w:val="21"/>
        </w:rPr>
        <w:t xml:space="preserve"> </w:t>
      </w:r>
      <w:r>
        <w:rPr>
          <w:rFonts w:hint="eastAsia" w:asciiTheme="minorEastAsia" w:hAnsiTheme="minorEastAsia" w:eastAsiaTheme="minorEastAsia" w:cstheme="minorEastAsia"/>
          <w:bCs/>
          <w:kern w:val="2"/>
          <w:sz w:val="21"/>
          <w:szCs w:val="21"/>
        </w:rPr>
        <w:t>□</w:t>
      </w:r>
      <w:r>
        <w:rPr>
          <w:rFonts w:hint="eastAsia" w:asciiTheme="minorEastAsia" w:hAnsiTheme="minorEastAsia" w:eastAsiaTheme="minorEastAsia" w:cstheme="minorEastAsia"/>
          <w:bCs/>
          <w:spacing w:val="-6"/>
          <w:kern w:val="2"/>
          <w:sz w:val="21"/>
          <w:szCs w:val="21"/>
        </w:rPr>
        <w:t>获取品牌、技术、人才等要素</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□优势产能合作   □利用当地劳动力等要素降低产品成本</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□其它</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7.企业是否加入境外中资商（协）会：□是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8.2020年企业是否遇到国际贸易摩擦：□是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9.2020年企业遭遇反倾销</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起，反补贴</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起，特别保障措施</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起，知识产权纠纷</w:t>
      </w:r>
    </w:p>
    <w:p>
      <w:pPr>
        <w:widowControl w:val="0"/>
        <w:spacing w:line="500" w:lineRule="exact"/>
        <w:ind w:firstLine="630" w:firstLineChars="3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起，其它</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10.2020年中美经贸摩擦对企业的影响是否加剧？□是  □否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若选“是”，有何影响（可多选）</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□关税冲击导致对美出口成本增加   □美国营商环境不确定因素增加，美国市场投资受到影响</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□出口下滑，业务萎缩   □国内员工裁员减薪   □合法商业活动遭受不公正待遇</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□海外研发受到影响   □政治因素影响海外雇员的工作稳定性   □正常中美技术交流活动受限</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为应对中美经贸摩擦，企业采取了哪些应对措施（可多选）</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□加大对“一带一路”沿路国家的出口（□加大对非洲国家的出口   □加大对东南亚国家的出口）</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□加大对其他国家的出口   □开拓新市场   □进一步提升国内市场    </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□提升产品+／服务质量    □提高产品+／服务科技或技术含量     </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□企业向高质量发展转型（□人员结构优化 □研发水平提升 □生产制造流程优化、高效 □其他）     </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□其他</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11.2020年企业遇到国际贸易摩擦时采取的对策（可多选）：</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□起诉   □应诉  □协商  □仲裁  □不应对</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2"/>
          <w:sz w:val="21"/>
          <w:szCs w:val="21"/>
        </w:rPr>
        <w:t>12.</w:t>
      </w:r>
      <w:r>
        <w:rPr>
          <w:rFonts w:hint="eastAsia" w:asciiTheme="minorEastAsia" w:hAnsiTheme="minorEastAsia" w:eastAsiaTheme="minorEastAsia" w:cstheme="minorEastAsia"/>
          <w:bCs/>
          <w:kern w:val="2"/>
          <w:sz w:val="21"/>
          <w:szCs w:val="21"/>
        </w:rPr>
        <w:t xml:space="preserve">2020年企业遇到国际贸易摩擦时主要依靠的外部力量（可多选）： </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□借助商会力量   □联合同行共同应对   □依靠政府   □依靠专业机构   □其他 </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13.企业“走出去”和参与“一带一路”建设遇到的主要困难（可多选）：</w:t>
      </w:r>
    </w:p>
    <w:p>
      <w:pPr>
        <w:widowControl w:val="0"/>
        <w:spacing w:line="500" w:lineRule="exact"/>
        <w:ind w:firstLine="42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2"/>
          <w:sz w:val="21"/>
          <w:szCs w:val="21"/>
        </w:rPr>
        <w:t xml:space="preserve">   内因：</w:t>
      </w:r>
      <w:r>
        <w:rPr>
          <w:rFonts w:hint="eastAsia" w:asciiTheme="minorEastAsia" w:hAnsiTheme="minorEastAsia" w:eastAsiaTheme="minorEastAsia" w:cstheme="minorEastAsia"/>
          <w:bCs/>
          <w:kern w:val="2"/>
          <w:sz w:val="21"/>
          <w:szCs w:val="21"/>
        </w:rPr>
        <w:t xml:space="preserve"> □缺资金   □缺人才（□国际经营管理人才   □专业技术人才）</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□对东道国政策、投资环境、市场信息了解不够</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□本土化经营能力不足     □缺乏境外自我保护和维权能力</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□产品或服务缺乏竞争力   □投资的战略规划不够</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 xml:space="preserve">   外因：</w:t>
      </w:r>
    </w:p>
    <w:p>
      <w:pPr>
        <w:widowControl w:val="0"/>
        <w:spacing w:line="500" w:lineRule="exact"/>
        <w:ind w:firstLine="42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2"/>
          <w:sz w:val="21"/>
          <w:szCs w:val="21"/>
        </w:rPr>
        <w:t xml:space="preserve">   本国方面：</w:t>
      </w:r>
      <w:r>
        <w:rPr>
          <w:rFonts w:hint="eastAsia" w:asciiTheme="minorEastAsia" w:hAnsiTheme="minorEastAsia" w:eastAsiaTheme="minorEastAsia" w:cstheme="minorEastAsia"/>
          <w:bCs/>
          <w:kern w:val="2"/>
          <w:sz w:val="21"/>
          <w:szCs w:val="21"/>
        </w:rPr>
        <w:t>□外汇管制严格   □双重征税   □金融支持不够</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□尚未出台外保内贷的政策   □缺少境外投资的统筹协调</w:t>
      </w:r>
    </w:p>
    <w:p>
      <w:pPr>
        <w:widowControl w:val="0"/>
        <w:tabs>
          <w:tab w:val="left" w:pos="2270"/>
        </w:tabs>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□法律服务机构不健全   □会计服务机构不健全   □投资服务机构不健全</w:t>
      </w:r>
    </w:p>
    <w:p>
      <w:pPr>
        <w:widowControl w:val="0"/>
        <w:tabs>
          <w:tab w:val="left" w:pos="2270"/>
        </w:tabs>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□信息咨询机构不健全   □人才培训机构不健全</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□对企业境外投资保护、领事保护不及时不到位</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□出入境手续繁琐、不便利   □海关通关不便利</w:t>
      </w:r>
    </w:p>
    <w:p>
      <w:pPr>
        <w:widowControl w:val="0"/>
        <w:spacing w:line="500" w:lineRule="exact"/>
        <w:ind w:firstLine="42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2"/>
          <w:sz w:val="21"/>
          <w:szCs w:val="21"/>
        </w:rPr>
        <w:t xml:space="preserve">   国外方面：</w:t>
      </w:r>
      <w:r>
        <w:rPr>
          <w:rFonts w:hint="eastAsia" w:asciiTheme="minorEastAsia" w:hAnsiTheme="minorEastAsia" w:eastAsiaTheme="minorEastAsia" w:cstheme="minorEastAsia"/>
          <w:bCs/>
          <w:kern w:val="2"/>
          <w:sz w:val="21"/>
          <w:szCs w:val="21"/>
        </w:rPr>
        <w:t>□国际贸易保护主义、单边主义抬头   □东道国政局动荡</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□东道国法规、政策不完善   □东道国汇率波动   □东道国基础设施落后</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□东道国市场秩序差   □东道国投资审批困难   □东道国劳工政策或工会影响</w:t>
      </w:r>
    </w:p>
    <w:p>
      <w:pPr>
        <w:widowControl w:val="0"/>
        <w:spacing w:line="500" w:lineRule="exact"/>
        <w:ind w:firstLine="482" w:firstLineChars="23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kern w:val="2"/>
          <w:sz w:val="21"/>
          <w:szCs w:val="21"/>
        </w:rPr>
        <w:t xml:space="preserve">             □东道国文化和宗教信仰影响   □安全没有保障   </w:t>
      </w:r>
      <w:r>
        <w:rPr>
          <w:rFonts w:hint="eastAsia" w:asciiTheme="minorEastAsia" w:hAnsiTheme="minorEastAsia" w:eastAsiaTheme="minorEastAsia" w:cstheme="minorEastAsia"/>
          <w:b/>
          <w:kern w:val="2"/>
          <w:sz w:val="21"/>
          <w:szCs w:val="21"/>
        </w:rPr>
        <w:t>□其他</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五、企业转型升级情况</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1.企业转型升级的动因包括（可多选）：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☐国内经济增长趋缓</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☐国际市场持续低迷  </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☐现有模式不可持续</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☐成本负担上升</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☐行业产能过剩</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☐做强做大企业的愿望</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☐政策支持引导</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☐产品技术升级换代</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☐企业生存的压力</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2.企业主要通过哪些途径来推动转型升级？（可多选）</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依靠产业升级</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☐聚焦主业，提升核心竞争力</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☐整合产业链资源，向产业链上下游延伸布局</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☐发展生产性服务业，提供制造加服务的整体解决方案</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 xml:space="preserve">依靠创新 </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☐通过技术创新，提升关键技术水平</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☐提高产品附加值，走“专、精、特、新”发展道路</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☐实施技术改造和设备升级</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☐通过管理创新，提升管理水平，降低成本、提高效率</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依靠质量品牌</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☐严格质量控制，提升产品质量水平</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☐参与行业标准制定</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☐打造知名品牌，提升市场影响力</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依靠绿色环保</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☐提高现有产品环保性能</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☐研发生产绿色产品</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依靠两化融合</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☐运用互联网、大数据、人工智能等技术，发展新业态、新模式</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☐推进智能化生产，实现信息化和工业化深入融合</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依靠国际合作</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☐建立国际化销售渠道，拓展国际市场</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☐境外投资设厂，面向全球配置要素</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☐实施海外并购，增强国际竞争力</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3.2020年以下哪些成本对企业影响较大？（可多选）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☐制度性交易成本</w:t>
      </w:r>
      <w:r>
        <w:rPr>
          <w:rStyle w:val="24"/>
          <w:rFonts w:hint="eastAsia" w:asciiTheme="minorEastAsia" w:hAnsiTheme="minorEastAsia" w:eastAsiaTheme="minorEastAsia" w:cstheme="minorEastAsia"/>
          <w:kern w:val="2"/>
          <w:sz w:val="21"/>
          <w:szCs w:val="21"/>
        </w:rPr>
        <w:footnoteReference w:id="0"/>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☐中介服务费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☐缴税负担</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☐缴费负担</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☐工资成本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 xml:space="preserve">☐社保成本 </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☐融资成本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☐能源成本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☐物流成本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☐原材料成本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☐土地成本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□环境保护成本</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 xml:space="preserve">    六、企业营商环境情况</w:t>
      </w:r>
    </w:p>
    <w:p>
      <w:pPr>
        <w:widowControl w:val="0"/>
        <w:spacing w:line="500" w:lineRule="exact"/>
        <w:ind w:firstLine="42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kern w:val="2"/>
          <w:sz w:val="21"/>
          <w:szCs w:val="21"/>
        </w:rPr>
        <w:t xml:space="preserve">    1.2020年以下哪些环境因素对企业发展影响较大</w:t>
      </w: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bCs/>
          <w:kern w:val="2"/>
          <w:sz w:val="21"/>
          <w:szCs w:val="21"/>
        </w:rPr>
        <w:t>（可多选）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
          <w:kern w:val="2"/>
          <w:sz w:val="21"/>
          <w:szCs w:val="21"/>
        </w:rPr>
        <w:t>市场环境：</w:t>
      </w:r>
      <w:r>
        <w:rPr>
          <w:rFonts w:hint="eastAsia" w:asciiTheme="minorEastAsia" w:hAnsiTheme="minorEastAsia" w:eastAsiaTheme="minorEastAsia" w:cstheme="minorEastAsia"/>
          <w:kern w:val="2"/>
          <w:sz w:val="21"/>
          <w:szCs w:val="21"/>
        </w:rPr>
        <w:t>□国内市场需求不足</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□出口订单减少</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□人民币汇率变动</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□土地供应紧缺</w:t>
      </w:r>
    </w:p>
    <w:p>
      <w:pPr>
        <w:widowControl w:val="0"/>
        <w:spacing w:line="500" w:lineRule="exact"/>
        <w:ind w:firstLine="482" w:firstLineChars="2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□融资难融资贵       □用工成本上升   □能源供应紧张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
          <w:kern w:val="2"/>
          <w:sz w:val="21"/>
          <w:szCs w:val="21"/>
        </w:rPr>
        <w:t xml:space="preserve"> 政策政务环境：</w:t>
      </w:r>
      <w:r>
        <w:rPr>
          <w:rFonts w:hint="eastAsia" w:asciiTheme="minorEastAsia" w:hAnsiTheme="minorEastAsia" w:eastAsiaTheme="minorEastAsia" w:cstheme="minorEastAsia"/>
          <w:kern w:val="2"/>
          <w:sz w:val="21"/>
          <w:szCs w:val="21"/>
        </w:rPr>
        <w:t>□税费负担重</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□“卷帘门”“玻璃门”“旋转门”   </w:t>
      </w:r>
    </w:p>
    <w:p>
      <w:pPr>
        <w:widowControl w:val="0"/>
        <w:spacing w:line="500" w:lineRule="exact"/>
        <w:ind w:firstLine="482" w:firstLineChars="2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□民间投资政策实施细则落实不到位</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□垄断行业开放度不高</w:t>
      </w:r>
    </w:p>
    <w:p>
      <w:pPr>
        <w:widowControl w:val="0"/>
        <w:spacing w:line="500" w:lineRule="exact"/>
        <w:ind w:firstLine="482" w:firstLineChars="2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□垄断行业门槛过高</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□节能减排压力大</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□公共服务不到位</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
          <w:kern w:val="2"/>
          <w:sz w:val="21"/>
          <w:szCs w:val="21"/>
        </w:rPr>
        <w:t>法治环境：</w:t>
      </w:r>
      <w:r>
        <w:rPr>
          <w:rFonts w:hint="eastAsia" w:asciiTheme="minorEastAsia" w:hAnsiTheme="minorEastAsia" w:eastAsiaTheme="minorEastAsia" w:cstheme="minorEastAsia"/>
          <w:kern w:val="2"/>
          <w:sz w:val="21"/>
          <w:szCs w:val="21"/>
        </w:rPr>
        <w:t>□对企业和企业主合法财产权保护不够</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□对企业主人身权益保护不够 </w:t>
      </w:r>
    </w:p>
    <w:p>
      <w:pPr>
        <w:widowControl w:val="0"/>
        <w:spacing w:line="500" w:lineRule="exact"/>
        <w:ind w:firstLine="2163" w:firstLineChars="103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□市场秩序不够规范                   □对知识产权的保护不够</w:t>
      </w:r>
    </w:p>
    <w:p>
      <w:pPr>
        <w:widowControl w:val="0"/>
        <w:spacing w:line="500" w:lineRule="exact"/>
        <w:ind w:firstLine="2163" w:firstLineChars="103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□依法行政不够规范                   □</w:t>
      </w:r>
      <w:r>
        <w:rPr>
          <w:rFonts w:hint="eastAsia" w:asciiTheme="minorEastAsia" w:hAnsiTheme="minorEastAsia" w:eastAsiaTheme="minorEastAsia" w:cstheme="minorEastAsia"/>
          <w:spacing w:val="-6"/>
          <w:kern w:val="2"/>
          <w:sz w:val="21"/>
          <w:szCs w:val="21"/>
        </w:rPr>
        <w:t>民营企业在司法审判中的平等地位不够</w:t>
      </w:r>
    </w:p>
    <w:p>
      <w:pPr>
        <w:widowControl w:val="0"/>
        <w:spacing w:line="500" w:lineRule="exact"/>
        <w:ind w:firstLine="2163" w:firstLineChars="10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
          <w:kern w:val="2"/>
          <w:sz w:val="21"/>
          <w:szCs w:val="21"/>
        </w:rPr>
        <w:t>政商环境：</w:t>
      </w:r>
      <w:r>
        <w:rPr>
          <w:rFonts w:hint="eastAsia" w:asciiTheme="minorEastAsia" w:hAnsiTheme="minorEastAsia" w:eastAsiaTheme="minorEastAsia" w:cstheme="minorEastAsia"/>
          <w:kern w:val="2"/>
          <w:sz w:val="21"/>
          <w:szCs w:val="21"/>
        </w:rPr>
        <w:t>□对民营经济的负面舆论较多</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□政府沟通不畅</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□政府干预过多</w:t>
      </w:r>
    </w:p>
    <w:p>
      <w:pPr>
        <w:widowControl w:val="0"/>
        <w:spacing w:line="500" w:lineRule="exact"/>
        <w:ind w:firstLine="2163" w:firstLineChars="103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□地方保护主义</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□地方政府诚信缺失</w:t>
      </w:r>
    </w:p>
    <w:p>
      <w:pPr>
        <w:widowControl w:val="0"/>
        <w:spacing w:line="500" w:lineRule="exact"/>
        <w:ind w:firstLine="2163" w:firstLineChars="10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□政府官员存在吃拿卡要现象   □政府官员帮扶企业意识差 </w:t>
      </w:r>
    </w:p>
    <w:p>
      <w:pPr>
        <w:widowControl w:val="0"/>
        <w:spacing w:line="500" w:lineRule="exact"/>
        <w:ind w:firstLine="2163" w:firstLineChars="10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□政府官员懒政、怠政         </w:t>
      </w:r>
      <w:r>
        <w:rPr>
          <w:rFonts w:hint="eastAsia" w:asciiTheme="minorEastAsia" w:hAnsiTheme="minorEastAsia" w:eastAsiaTheme="minorEastAsia" w:cstheme="minorEastAsia"/>
          <w:bCs/>
          <w:kern w:val="2"/>
          <w:sz w:val="21"/>
          <w:szCs w:val="21"/>
        </w:rPr>
        <w:t xml:space="preserve">□政府部门和国企拖欠账款较多、较久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2"/>
          <w:sz w:val="21"/>
          <w:szCs w:val="21"/>
        </w:rPr>
        <w:t>2.融资难融资贵问题是否得到改善：</w:t>
      </w:r>
      <w:r>
        <w:rPr>
          <w:rFonts w:hint="eastAsia" w:asciiTheme="minorEastAsia" w:hAnsiTheme="minorEastAsia" w:eastAsiaTheme="minorEastAsia" w:cstheme="minorEastAsia"/>
          <w:bCs/>
          <w:kern w:val="2"/>
          <w:sz w:val="21"/>
          <w:szCs w:val="21"/>
        </w:rPr>
        <w:t>□是   □否</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若选是，具体体现在哪些方面（可多选）：</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□金融机构对民营企业的信贷投放加大       □普惠金融定向降准政策进一步完善  </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□再贷款和再贴现额度增加                 □对民营企业票据融资的支持力度加大  </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□民营企业首发上市和再融资审核进度加快   □支持非上市、非挂牌民营企业发行私募可转债 </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□同等条件下民营企业与国有企业贷款利率和贷款条件达到一致（即贷款审批歧视性条款不再）</w:t>
      </w:r>
    </w:p>
    <w:p>
      <w:pPr>
        <w:widowControl w:val="0"/>
        <w:spacing w:line="500" w:lineRule="exact"/>
        <w:ind w:firstLine="648" w:firstLineChars="309"/>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□贷款需求响应速度和审批时效提高         □金融机构服务收费减免</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□金融机构服务流程优化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3.2020年获取银行等金融机构融资方面面临的最大问题（可多选）：</w:t>
      </w:r>
    </w:p>
    <w:p>
      <w:pPr>
        <w:widowControl w:val="0"/>
        <w:spacing w:line="500" w:lineRule="exact"/>
        <w:ind w:firstLine="648" w:firstLineChars="309"/>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□银行服务民营企业的能力有限</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□银行更愿意贷款给国有企业而不是民营企业</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□企业经营管理不规范           □企业缺乏足够的抵押和担保 □贷款周期太短，需要过桥倒贷 </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□贷款利率高</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□贷款中间环节存在不合理收费</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□政府性融资担保难获得，费率高或存在反担保等</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□银行信贷审核趋紧</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□银行出现不合理的抽贷、断贷现象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4.2020年获取资本市场融资面临的最大问题（可多选）：</w:t>
      </w:r>
    </w:p>
    <w:p>
      <w:pPr>
        <w:widowControl w:val="0"/>
        <w:spacing w:line="500" w:lineRule="exact"/>
        <w:ind w:firstLine="648" w:firstLineChars="309"/>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□股票市场融资难度大（□首发上市条件门槛高</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□首发上市审核时间长</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□已上市企业再融资</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审核时间长 □其他）</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□债券市场融资难度大（□融资门槛高，融资条件苛刻</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□品种较单一</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□企业债券发行规模小）  </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□市场对民营企业债券接受度降低</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□受限于所处行业，资本市场投资意愿不高</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□投资者对民营企业的投资意愿不高</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5.希望政府在融资方面提供哪些支持？（可多选）</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□加大银行对民营企业的信贷力度和信贷额度</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□加大银行对民营企业的长期贷款业务的投放</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□同等条件下，实现民营企业与国企政策的一致性</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□出台针对企业不同融资需求的差异化融资政策</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□对于暂时出现困难但经营正常的民营企业，提供如延期或展期等服务</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□增加或创新民营企业贷款担保方式及抵质押物类型</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□加快首发上市及再融资审核进度</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□政府加大扶持项目资金力度</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6.2020年企业的营商环境发生哪些改善？（可多选）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□土地、劳动力、水电气等要素支撑有所改善           □融资支持有所改善</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□市场准入有所改善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□市场信用体系建设有所改善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□市场监管进一步加强</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□产权保护有所改善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□政府诚信有所改善           □税费负担有所降低</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□“亲”“清”政商关系进一步确立                    □政府企业服务力度加大 </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□司法公正进一步加强    □涉企执法更加公正         □企业维权难度降低 </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□有利于民营经济发展的舆论氛围进一步加强           □有利于科技创新的氛围进一步加强</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2"/>
          <w:sz w:val="21"/>
          <w:szCs w:val="21"/>
        </w:rPr>
        <w:t>□政府部门和国企拖欠账款清欠工作成效显著</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7.2020年企业在哪些方面得到具体纾困扶持？（可多选）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□普惠金融产品             □纾困专项债           □纾困专项基金</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□地方专项救助资金</w:t>
      </w:r>
    </w:p>
    <w:p>
      <w:pPr>
        <w:widowControl w:val="0"/>
        <w:spacing w:line="500" w:lineRule="exact"/>
        <w:ind w:firstLine="420"/>
        <w:rPr>
          <w:rFonts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kern w:val="2"/>
          <w:sz w:val="21"/>
          <w:szCs w:val="21"/>
        </w:rPr>
        <w:t xml:space="preserve">  □国企对民企帮扶计划</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□国有资本的财务投资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□政策性融资担保</w:t>
      </w:r>
      <w:r>
        <w:rPr>
          <w:rFonts w:hint="eastAsia" w:asciiTheme="minorEastAsia" w:hAnsiTheme="minorEastAsia" w:eastAsiaTheme="minorEastAsia" w:cstheme="minorEastAsia"/>
          <w:color w:val="00B050"/>
          <w:kern w:val="2"/>
          <w:sz w:val="21"/>
          <w:szCs w:val="21"/>
        </w:rPr>
        <w:t xml:space="preserve"> </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B050"/>
          <w:kern w:val="2"/>
          <w:sz w:val="21"/>
          <w:szCs w:val="21"/>
        </w:rPr>
        <w:t xml:space="preserve">  </w:t>
      </w:r>
      <w:r>
        <w:rPr>
          <w:rFonts w:hint="eastAsia" w:asciiTheme="minorEastAsia" w:hAnsiTheme="minorEastAsia" w:eastAsiaTheme="minorEastAsia" w:cstheme="minorEastAsia"/>
          <w:kern w:val="2"/>
          <w:sz w:val="21"/>
          <w:szCs w:val="21"/>
        </w:rPr>
        <w:t>□金融机构贷款展期、延期</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□延期缴纳税款         □未得到相关支持</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8.2020年企业在哪些方面实现了减税降费？（可多选）</w:t>
      </w:r>
    </w:p>
    <w:p>
      <w:pPr>
        <w:widowControl w:val="0"/>
        <w:spacing w:line="500" w:lineRule="exact"/>
        <w:ind w:firstLine="648" w:firstLineChars="309"/>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□增值税</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□应纳税所得额</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□出口退税</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□研发费用税前加计扣除</w:t>
      </w:r>
    </w:p>
    <w:p>
      <w:pPr>
        <w:widowControl w:val="0"/>
        <w:spacing w:line="500" w:lineRule="exact"/>
        <w:ind w:firstLine="648" w:firstLineChars="309"/>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□社保费缴费基数／范围、费率</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□电价</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□工会经费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□附加税</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□残疾人保障金</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□其他政府性基金费用</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□行政事业性收费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□经营服务性收费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9.2020年国家减税降费政策对企业经营的影响主要体现在哪些方面（可多选）</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□生产成本下降    （□暂无影响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□营业利润增加    （□暂无影响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□企业承担社保下降（□暂无影响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□研发费用加计扣除（□暂无影响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□出口退税增加    （□暂无影响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10.2020年因为政府减税降费政策，企业在哪些方面作出了优化调整（可多选）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□研发费用投入增加（□暂无影响 □无明显影响 □10%以内 □10%～30% □30%～50% □50%以上）</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□优化员工结构，尤其是研发队伍</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□加大新增投资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□提升产品+／服务质量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□提升企业附加值（产品及服务等）</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□进一步拓展市场</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11.希望政府未来在减税降费哪些方面进一步完善（可多选）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□进一步减免税收、降低税率</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□进一步降低社保缴费基数、缴存费率</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□降低工会经费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□进一步优化残疾人保障金征收政策（减免额、免征企业范围、免征年限等）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□进一步优化电价，降低企业用电成本</w:t>
      </w:r>
      <w:r>
        <w:rPr>
          <w:rFonts w:hint="eastAsia" w:asciiTheme="minorEastAsia" w:hAnsiTheme="minorEastAsia" w:eastAsiaTheme="minorEastAsia" w:cstheme="minorEastAsia"/>
          <w:bCs/>
          <w:kern w:val="2"/>
          <w:sz w:val="21"/>
          <w:szCs w:val="21"/>
        </w:rPr>
        <w:t xml:space="preserve">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□进一步降低物流运输成本（能源价格，及公路、铁路、机场、港口等）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□进一步停征或取消行政事业性收费项目范围、降低收费标准</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□统筹安排税费改革，合理调整税费种类设置</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□产业链上下游政策优惠统筹安排（做到减税降费真正到位，避免出现税收优惠的转嫁等）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□加快出台鼓励企业创新的税收优惠政策（□计提科技开发风险准备金</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□新技术产业化资产投资免税制度</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□对企业创新活动出现亏损的减免税支持力度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□对创新平台、创投企业的税收优惠力度</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□进一步加大政策宣传，提高税务主管部门税收减免服务的主动性</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□进一步优化税收征管程序，优化办税服务（简并优化纳税申报、积极推进异地纳税的便利化等）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widowControl w:val="0"/>
        <w:ind w:firstLine="0" w:firstLineChars="0"/>
        <w:rPr>
          <w:rFonts w:ascii="黑体" w:hAnsi="Calibri" w:eastAsia="黑体" w:cs="黑体"/>
          <w:color w:val="000000"/>
          <w:sz w:val="32"/>
          <w:szCs w:val="32"/>
        </w:rPr>
      </w:pPr>
      <w:r>
        <w:rPr>
          <w:rFonts w:hint="eastAsia" w:ascii="黑体" w:hAnsi="Calibri" w:eastAsia="黑体" w:cs="Times New Roman"/>
          <w:color w:val="000000"/>
          <w:kern w:val="2"/>
          <w:sz w:val="32"/>
          <w:szCs w:val="32"/>
        </w:rPr>
        <w:br w:type="page"/>
      </w:r>
      <w:r>
        <w:rPr>
          <w:rFonts w:hint="eastAsia" w:ascii="黑体" w:hAnsi="Calibri" w:eastAsia="黑体" w:cs="黑体"/>
          <w:color w:val="000000"/>
          <w:kern w:val="2"/>
          <w:sz w:val="32"/>
          <w:szCs w:val="32"/>
        </w:rPr>
        <w:t>附件2</w:t>
      </w:r>
    </w:p>
    <w:p>
      <w:pPr>
        <w:widowControl w:val="0"/>
        <w:spacing w:line="520" w:lineRule="atLeast"/>
        <w:ind w:firstLine="640"/>
        <w:rPr>
          <w:rFonts w:ascii="黑体" w:hAnsi="Calibri" w:eastAsia="黑体" w:cs="黑体"/>
          <w:color w:val="000000"/>
          <w:sz w:val="32"/>
          <w:szCs w:val="32"/>
        </w:rPr>
      </w:pPr>
      <w:r>
        <w:rPr>
          <w:rFonts w:hint="eastAsia" w:ascii="黑体" w:hAnsi="Calibri" w:eastAsia="黑体" w:cs="黑体"/>
          <w:color w:val="000000"/>
          <w:kern w:val="2"/>
          <w:sz w:val="32"/>
          <w:szCs w:val="32"/>
        </w:rPr>
        <w:t xml:space="preserve"> </w:t>
      </w:r>
    </w:p>
    <w:p>
      <w:pPr>
        <w:widowControl w:val="0"/>
        <w:spacing w:line="520" w:lineRule="atLeast"/>
        <w:ind w:firstLine="640"/>
        <w:rPr>
          <w:rFonts w:ascii="黑体" w:hAnsi="Calibri" w:eastAsia="黑体" w:cs="黑体"/>
          <w:color w:val="000000"/>
          <w:sz w:val="32"/>
          <w:szCs w:val="32"/>
        </w:rPr>
      </w:pPr>
      <w:r>
        <w:rPr>
          <w:rFonts w:hint="eastAsia" w:ascii="黑体" w:hAnsi="Calibri" w:eastAsia="黑体" w:cs="黑体"/>
          <w:color w:val="000000"/>
          <w:kern w:val="2"/>
          <w:sz w:val="32"/>
          <w:szCs w:val="32"/>
        </w:rPr>
        <w:t xml:space="preserve"> </w:t>
      </w:r>
    </w:p>
    <w:p>
      <w:pPr>
        <w:widowControl w:val="0"/>
        <w:spacing w:line="520" w:lineRule="atLeast"/>
        <w:ind w:firstLine="640"/>
        <w:rPr>
          <w:rFonts w:ascii="黑体" w:hAnsi="Calibri" w:eastAsia="黑体" w:cs="黑体"/>
          <w:color w:val="000000"/>
          <w:sz w:val="32"/>
          <w:szCs w:val="32"/>
        </w:rPr>
      </w:pPr>
    </w:p>
    <w:p>
      <w:pPr>
        <w:widowControl w:val="0"/>
        <w:spacing w:line="520" w:lineRule="atLeast"/>
        <w:ind w:firstLine="1044"/>
        <w:jc w:val="center"/>
        <w:outlineLvl w:val="0"/>
        <w:rPr>
          <w:rFonts w:ascii="楷体_GB2312" w:eastAsia="楷体_GB2312" w:cs="楷体_GB2312"/>
          <w:b/>
          <w:color w:val="000000"/>
          <w:sz w:val="52"/>
          <w:szCs w:val="52"/>
        </w:rPr>
      </w:pPr>
      <w:r>
        <w:rPr>
          <w:rFonts w:hint="eastAsia" w:ascii="楷体_GB2312" w:hAnsi="Calibri" w:eastAsia="楷体_GB2312" w:cs="楷体_GB2312"/>
          <w:b/>
          <w:color w:val="000000"/>
          <w:kern w:val="2"/>
          <w:sz w:val="52"/>
          <w:szCs w:val="52"/>
        </w:rPr>
        <w:t>制造业企业专利等证明材料</w:t>
      </w:r>
    </w:p>
    <w:p>
      <w:pPr>
        <w:widowControl w:val="0"/>
        <w:spacing w:line="520" w:lineRule="atLeast"/>
        <w:ind w:firstLine="422"/>
        <w:rPr>
          <w:rFonts w:ascii="楷体_GB2312" w:eastAsia="楷体_GB2312" w:cs="楷体_GB2312"/>
          <w:b/>
          <w:color w:val="000000"/>
          <w:szCs w:val="21"/>
        </w:rPr>
      </w:pPr>
      <w:r>
        <w:rPr>
          <w:rFonts w:hint="eastAsia" w:ascii="楷体_GB2312" w:eastAsia="楷体_GB2312" w:cs="楷体_GB2312"/>
          <w:b/>
          <w:color w:val="000000"/>
          <w:kern w:val="2"/>
          <w:sz w:val="21"/>
        </w:rPr>
        <w:t xml:space="preserve"> </w:t>
      </w:r>
    </w:p>
    <w:p>
      <w:pPr>
        <w:widowControl w:val="0"/>
        <w:spacing w:line="520" w:lineRule="atLeast"/>
        <w:ind w:firstLine="422"/>
        <w:rPr>
          <w:rFonts w:ascii="楷体_GB2312" w:eastAsia="楷体_GB2312" w:cs="楷体_GB2312"/>
          <w:b/>
          <w:color w:val="000000"/>
        </w:rPr>
      </w:pPr>
      <w:r>
        <w:rPr>
          <w:rFonts w:hint="eastAsia" w:ascii="楷体_GB2312" w:hAnsi="Calibri" w:eastAsia="楷体_GB2312" w:cs="楷体_GB2312"/>
          <w:b/>
          <w:color w:val="000000"/>
          <w:kern w:val="2"/>
          <w:sz w:val="21"/>
        </w:rPr>
        <w:t xml:space="preserve"> </w:t>
      </w:r>
    </w:p>
    <w:p>
      <w:pPr>
        <w:widowControl w:val="0"/>
        <w:spacing w:line="700" w:lineRule="exact"/>
        <w:ind w:firstLine="1440" w:firstLineChars="450"/>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企业名称</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（公章）</w:t>
      </w:r>
    </w:p>
    <w:p>
      <w:pPr>
        <w:widowControl w:val="0"/>
        <w:spacing w:line="700" w:lineRule="exact"/>
        <w:ind w:firstLine="720"/>
        <w:rPr>
          <w:rFonts w:ascii="楷体_GB2312" w:eastAsia="楷体_GB2312" w:cs="楷体_GB2312"/>
          <w:color w:val="000000"/>
          <w:sz w:val="36"/>
          <w:szCs w:val="36"/>
        </w:rPr>
      </w:pPr>
      <w:r>
        <w:rPr>
          <w:rFonts w:hint="eastAsia" w:ascii="楷体_GB2312" w:hAnsi="Calibri" w:eastAsia="楷体_GB2312" w:cs="楷体_GB2312"/>
          <w:color w:val="000000"/>
          <w:kern w:val="2"/>
          <w:sz w:val="36"/>
          <w:szCs w:val="36"/>
        </w:rPr>
        <w:t xml:space="preserve"> </w:t>
      </w:r>
    </w:p>
    <w:p>
      <w:pPr>
        <w:widowControl w:val="0"/>
        <w:spacing w:line="700" w:lineRule="exact"/>
        <w:ind w:firstLine="1440" w:firstLineChars="450"/>
        <w:rPr>
          <w:rFonts w:ascii="楷体_GB2312" w:eastAsia="楷体_GB2312" w:cs="楷体_GB2312"/>
          <w:color w:val="000000"/>
          <w:sz w:val="32"/>
          <w:szCs w:val="32"/>
          <w:u w:val="single"/>
        </w:rPr>
      </w:pPr>
      <w:r>
        <w:rPr>
          <w:rFonts w:hint="eastAsia" w:ascii="楷体_GB2312" w:hAnsi="Calibri" w:eastAsia="楷体_GB2312" w:cs="楷体_GB2312"/>
          <w:color w:val="000000"/>
          <w:kern w:val="2"/>
          <w:sz w:val="32"/>
          <w:szCs w:val="32"/>
        </w:rPr>
        <w:t>企业法定代表人</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（亲笔签字）</w:t>
      </w:r>
    </w:p>
    <w:p>
      <w:pPr>
        <w:widowControl w:val="0"/>
        <w:spacing w:line="700" w:lineRule="exact"/>
        <w:ind w:firstLine="1440" w:firstLineChars="450"/>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 xml:space="preserve"> </w:t>
      </w:r>
    </w:p>
    <w:p>
      <w:pPr>
        <w:widowControl w:val="0"/>
        <w:spacing w:line="700" w:lineRule="exact"/>
        <w:ind w:firstLine="1440" w:firstLineChars="450"/>
        <w:rPr>
          <w:rFonts w:ascii="楷体_GB2312" w:eastAsia="楷体_GB2312" w:cs="楷体_GB2312"/>
          <w:color w:val="000000"/>
          <w:sz w:val="32"/>
          <w:szCs w:val="32"/>
          <w:u w:val="single"/>
        </w:rPr>
      </w:pPr>
      <w:r>
        <w:rPr>
          <w:rFonts w:hint="eastAsia" w:ascii="楷体_GB2312" w:hAnsi="Calibri" w:eastAsia="楷体_GB2312" w:cs="楷体_GB2312"/>
          <w:color w:val="000000"/>
          <w:kern w:val="2"/>
          <w:sz w:val="32"/>
          <w:szCs w:val="32"/>
        </w:rPr>
        <w:t>企业填表时间</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年</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月</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日</w:t>
      </w:r>
    </w:p>
    <w:p>
      <w:pPr>
        <w:widowControl w:val="0"/>
        <w:spacing w:line="700" w:lineRule="exact"/>
        <w:ind w:firstLine="720"/>
        <w:rPr>
          <w:rFonts w:ascii="楷体_GB2312" w:eastAsia="楷体_GB2312" w:cs="楷体_GB2312"/>
          <w:color w:val="000000"/>
          <w:sz w:val="36"/>
          <w:szCs w:val="36"/>
        </w:rPr>
      </w:pPr>
      <w:r>
        <w:rPr>
          <w:rFonts w:hint="eastAsia" w:ascii="楷体_GB2312" w:hAnsi="Calibri" w:eastAsia="楷体_GB2312" w:cs="楷体_GB2312"/>
          <w:color w:val="000000"/>
          <w:kern w:val="2"/>
          <w:sz w:val="36"/>
          <w:szCs w:val="36"/>
        </w:rPr>
        <w:t xml:space="preserve"> </w:t>
      </w:r>
    </w:p>
    <w:p>
      <w:pPr>
        <w:widowControl w:val="0"/>
        <w:spacing w:line="700" w:lineRule="exact"/>
        <w:ind w:firstLine="1440" w:firstLineChars="450"/>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市级工商联</w:t>
      </w:r>
      <w:r>
        <w:rPr>
          <w:rFonts w:hint="eastAsia" w:ascii="楷体_GB2312" w:hAnsi="Calibri" w:eastAsia="楷体_GB2312" w:cs="楷体_GB2312"/>
          <w:color w:val="000000"/>
          <w:kern w:val="2"/>
          <w:sz w:val="32"/>
          <w:szCs w:val="32"/>
          <w:u w:val="single"/>
        </w:rPr>
        <w:t xml:space="preserve">                      </w:t>
      </w:r>
      <w:r>
        <w:rPr>
          <w:rFonts w:hint="eastAsia" w:ascii="楷体_GB2312" w:hAnsi="Calibri" w:eastAsia="楷体_GB2312" w:cs="楷体_GB2312"/>
          <w:color w:val="000000"/>
          <w:kern w:val="2"/>
          <w:sz w:val="32"/>
          <w:szCs w:val="32"/>
        </w:rPr>
        <w:t>（公章）</w:t>
      </w:r>
    </w:p>
    <w:p>
      <w:pPr>
        <w:widowControl w:val="0"/>
        <w:spacing w:line="700" w:lineRule="exact"/>
        <w:ind w:firstLine="640"/>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 xml:space="preserve"> </w:t>
      </w:r>
    </w:p>
    <w:p>
      <w:pPr>
        <w:widowControl w:val="0"/>
        <w:tabs>
          <w:tab w:val="left" w:pos="3546"/>
        </w:tabs>
        <w:spacing w:line="520" w:lineRule="atLeast"/>
        <w:ind w:firstLine="1285" w:firstLineChars="400"/>
        <w:rPr>
          <w:rFonts w:ascii="楷体_GB2312" w:eastAsia="楷体_GB2312" w:cs="楷体_GB2312"/>
          <w:b/>
          <w:color w:val="000000"/>
          <w:sz w:val="32"/>
          <w:szCs w:val="32"/>
        </w:rPr>
      </w:pPr>
      <w:r>
        <w:rPr>
          <w:rFonts w:hint="eastAsia" w:ascii="楷体_GB2312" w:hAnsi="Calibri" w:eastAsia="楷体_GB2312" w:cs="楷体_GB2312"/>
          <w:b/>
          <w:color w:val="000000"/>
          <w:kern w:val="2"/>
          <w:sz w:val="32"/>
          <w:szCs w:val="32"/>
        </w:rPr>
        <w:t xml:space="preserve"> </w:t>
      </w:r>
      <w:r>
        <w:rPr>
          <w:rFonts w:hint="eastAsia" w:ascii="楷体_GB2312" w:hAnsi="Calibri" w:eastAsia="楷体_GB2312" w:cs="楷体_GB2312"/>
          <w:b/>
          <w:color w:val="000000"/>
          <w:kern w:val="2"/>
          <w:sz w:val="32"/>
          <w:szCs w:val="32"/>
        </w:rPr>
        <w:tab/>
      </w:r>
    </w:p>
    <w:p>
      <w:pPr>
        <w:widowControl w:val="0"/>
        <w:tabs>
          <w:tab w:val="left" w:pos="3546"/>
        </w:tabs>
        <w:spacing w:line="520" w:lineRule="atLeast"/>
        <w:ind w:firstLine="1285" w:firstLineChars="400"/>
        <w:rPr>
          <w:rFonts w:ascii="楷体_GB2312" w:eastAsia="楷体_GB2312" w:cs="楷体_GB2312"/>
          <w:b/>
          <w:color w:val="000000"/>
          <w:sz w:val="32"/>
          <w:szCs w:val="32"/>
        </w:rPr>
      </w:pPr>
    </w:p>
    <w:p>
      <w:pPr>
        <w:widowControl w:val="0"/>
        <w:tabs>
          <w:tab w:val="left" w:pos="3546"/>
        </w:tabs>
        <w:spacing w:line="400" w:lineRule="exact"/>
        <w:ind w:firstLine="1285" w:firstLineChars="400"/>
        <w:rPr>
          <w:rFonts w:ascii="楷体_GB2312" w:eastAsia="楷体_GB2312" w:cs="楷体_GB2312"/>
          <w:b/>
          <w:color w:val="000000"/>
          <w:sz w:val="32"/>
          <w:szCs w:val="32"/>
        </w:rPr>
      </w:pPr>
    </w:p>
    <w:p>
      <w:pPr>
        <w:widowControl w:val="0"/>
        <w:spacing w:line="600" w:lineRule="exact"/>
        <w:ind w:firstLine="0" w:firstLineChars="0"/>
        <w:jc w:val="center"/>
        <w:rPr>
          <w:rFonts w:ascii="楷体_GB2312" w:eastAsia="楷体_GB2312" w:cs="楷体_GB2312"/>
          <w:color w:val="000000"/>
          <w:sz w:val="32"/>
          <w:szCs w:val="32"/>
        </w:rPr>
      </w:pPr>
      <w:r>
        <w:rPr>
          <w:rFonts w:hint="eastAsia" w:ascii="楷体_GB2312" w:hAnsi="Calibri" w:eastAsia="楷体_GB2312" w:cs="楷体_GB2312"/>
          <w:color w:val="000000"/>
          <w:kern w:val="2"/>
          <w:sz w:val="32"/>
          <w:szCs w:val="32"/>
        </w:rPr>
        <w:t>安徽省工商业联合会制表</w:t>
      </w:r>
    </w:p>
    <w:p>
      <w:pPr>
        <w:widowControl w:val="0"/>
        <w:spacing w:line="600" w:lineRule="exact"/>
        <w:ind w:firstLine="0" w:firstLineChars="0"/>
        <w:jc w:val="center"/>
        <w:rPr>
          <w:rFonts w:ascii="黑体" w:hAnsi="Calibri" w:eastAsia="黑体" w:cs="黑体"/>
          <w:color w:val="000000"/>
          <w:kern w:val="2"/>
          <w:sz w:val="32"/>
          <w:szCs w:val="32"/>
        </w:rPr>
      </w:pPr>
      <w:r>
        <w:rPr>
          <w:rFonts w:hint="eastAsia" w:ascii="楷体_GB2312" w:hAnsi="Calibri" w:eastAsia="楷体_GB2312" w:cs="楷体_GB2312"/>
          <w:color w:val="000000"/>
          <w:kern w:val="2"/>
          <w:sz w:val="32"/>
          <w:szCs w:val="32"/>
        </w:rPr>
        <w:t>2021年3月</w:t>
      </w:r>
      <w:bookmarkStart w:id="0" w:name="_Toc28515_WPSOffice_Type3"/>
      <w:bookmarkEnd w:id="0"/>
      <w:r>
        <w:rPr>
          <w:rFonts w:hint="eastAsia" w:ascii="黑体" w:hAnsi="Calibri" w:eastAsia="黑体" w:cs="黑体"/>
          <w:color w:val="000000"/>
          <w:kern w:val="2"/>
          <w:sz w:val="32"/>
          <w:szCs w:val="32"/>
        </w:rPr>
        <w:br w:type="page"/>
      </w:r>
    </w:p>
    <w:p>
      <w:pPr>
        <w:widowControl w:val="0"/>
        <w:ind w:firstLine="0" w:firstLineChars="0"/>
        <w:jc w:val="center"/>
        <w:rPr>
          <w:rFonts w:ascii="黑体" w:hAnsi="Calibri" w:eastAsia="黑体" w:cs="黑体"/>
          <w:color w:val="000000"/>
          <w:sz w:val="32"/>
          <w:szCs w:val="32"/>
        </w:rPr>
      </w:pPr>
      <w:r>
        <w:rPr>
          <w:rFonts w:hint="eastAsia" w:ascii="黑体" w:hAnsi="Calibri" w:eastAsia="黑体" w:cs="黑体"/>
          <w:color w:val="000000"/>
          <w:kern w:val="2"/>
          <w:sz w:val="32"/>
          <w:szCs w:val="32"/>
        </w:rPr>
        <w:t>目  录</w:t>
      </w:r>
    </w:p>
    <w:p>
      <w:pPr>
        <w:widowControl w:val="0"/>
        <w:ind w:firstLine="0" w:firstLineChars="0"/>
        <w:jc w:val="center"/>
        <w:rPr>
          <w:rFonts w:ascii="黑体" w:hAnsi="Calibri" w:eastAsia="黑体" w:cs="黑体"/>
          <w:color w:val="000000"/>
          <w:sz w:val="32"/>
          <w:szCs w:val="32"/>
        </w:rPr>
      </w:pPr>
    </w:p>
    <w:p>
      <w:pPr>
        <w:pStyle w:val="14"/>
        <w:widowControl w:val="0"/>
        <w:tabs>
          <w:tab w:val="right" w:leader="dot" w:pos="8730"/>
        </w:tabs>
        <w:spacing w:before="0" w:beforeAutospacing="0" w:after="0" w:afterAutospacing="0" w:line="600" w:lineRule="exact"/>
        <w:ind w:firstLine="0" w:firstLineChars="0"/>
        <w:jc w:val="distribute"/>
        <w:rPr>
          <w:rFonts w:ascii="仿宋_GB2312" w:hAnsi="仿宋_GB2312" w:cs="仿宋_GB2312"/>
          <w:color w:val="000000"/>
          <w:sz w:val="32"/>
          <w:szCs w:val="32"/>
        </w:rPr>
      </w:pPr>
      <w:bookmarkStart w:id="1" w:name="_Toc1685_WPSOffice_Type1"/>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"file:///C:\\Users\\Administrator\\Desktop\\关于开展2020年度安徽省上规模民营企业调研及百强排序活动的通知.doc" \l "_Toc4135_WPSOffice_Level1" </w:instrText>
      </w:r>
      <w:r>
        <w:rPr>
          <w:rFonts w:hint="eastAsia" w:ascii="仿宋_GB2312" w:hAnsi="仿宋_GB2312" w:cs="仿宋_GB2312"/>
          <w:sz w:val="32"/>
          <w:szCs w:val="32"/>
        </w:rPr>
        <w:fldChar w:fldCharType="separate"/>
      </w:r>
      <w:r>
        <w:rPr>
          <w:rStyle w:val="22"/>
          <w:rFonts w:hint="eastAsia" w:ascii="仿宋_GB2312" w:hAnsi="仿宋_GB2312" w:cs="仿宋_GB2312"/>
          <w:color w:val="000000"/>
          <w:sz w:val="32"/>
          <w:szCs w:val="32"/>
          <w:u w:val="none"/>
        </w:rPr>
        <w:t>一、国内外有效专利（2020年度）</w:t>
      </w:r>
      <w:bookmarkStart w:id="2" w:name="_Toc4135_WPSOffice_Level1Page"/>
      <w:r>
        <w:rPr>
          <w:rStyle w:val="22"/>
          <w:rFonts w:hint="eastAsia" w:ascii="仿宋_GB2312" w:hAnsi="仿宋_GB2312" w:cs="仿宋_GB2312"/>
          <w:color w:val="000000"/>
          <w:sz w:val="32"/>
          <w:szCs w:val="32"/>
          <w:u w:val="none"/>
        </w:rPr>
        <w:t>……………………………………2</w:t>
      </w:r>
      <w:bookmarkEnd w:id="2"/>
      <w:r>
        <w:rPr>
          <w:rStyle w:val="22"/>
          <w:rFonts w:hint="eastAsia" w:ascii="仿宋_GB2312" w:hAnsi="仿宋_GB2312" w:cs="仿宋_GB2312"/>
          <w:color w:val="000000"/>
          <w:sz w:val="32"/>
          <w:szCs w:val="32"/>
          <w:u w:val="none"/>
        </w:rPr>
        <w:t>7</w:t>
      </w:r>
      <w:r>
        <w:rPr>
          <w:rFonts w:hint="eastAsia" w:ascii="仿宋_GB2312" w:hAnsi="仿宋_GB2312" w:cs="仿宋_GB2312"/>
          <w:sz w:val="32"/>
          <w:szCs w:val="32"/>
        </w:rPr>
        <w:fldChar w:fldCharType="end"/>
      </w:r>
    </w:p>
    <w:p>
      <w:pPr>
        <w:pStyle w:val="14"/>
        <w:widowControl w:val="0"/>
        <w:tabs>
          <w:tab w:val="right" w:leader="dot" w:pos="8730"/>
        </w:tabs>
        <w:spacing w:before="0" w:beforeAutospacing="0" w:after="0" w:afterAutospacing="0" w:line="600" w:lineRule="exact"/>
        <w:ind w:firstLine="0" w:firstLineChars="0"/>
        <w:jc w:val="distribute"/>
        <w:rPr>
          <w:rFonts w:ascii="仿宋_GB2312" w:hAnsi="仿宋_GB2312" w:cs="仿宋_GB2312"/>
          <w:color w:val="000000"/>
          <w:sz w:val="32"/>
          <w:szCs w:val="32"/>
        </w:rPr>
      </w:pPr>
      <w:r>
        <w:fldChar w:fldCharType="begin"/>
      </w:r>
      <w:r>
        <w:instrText xml:space="preserve"> HYPERLINK "file:///C:\\Users\\Administrator\\Desktop\\关于开展2020年度安徽省上规模民营企业调研及百强排序活动的通知.doc" \l "_Toc15176_WPSOffice_Level1" </w:instrText>
      </w:r>
      <w:r>
        <w:fldChar w:fldCharType="separate"/>
      </w:r>
      <w:r>
        <w:rPr>
          <w:rStyle w:val="22"/>
          <w:rFonts w:hint="eastAsia" w:ascii="仿宋_GB2312" w:hAnsi="仿宋_GB2312" w:cs="仿宋_GB2312"/>
          <w:color w:val="000000"/>
          <w:sz w:val="32"/>
          <w:szCs w:val="32"/>
          <w:u w:val="none"/>
        </w:rPr>
        <w:t>二、国内外有效商标（2020年度）</w:t>
      </w:r>
      <w:bookmarkStart w:id="3" w:name="_Toc15176_WPSOffice_Level1Page"/>
      <w:r>
        <w:rPr>
          <w:rStyle w:val="22"/>
          <w:rFonts w:hint="eastAsia" w:ascii="仿宋_GB2312" w:hAnsi="仿宋_GB2312" w:cs="仿宋_GB2312"/>
          <w:color w:val="000000"/>
          <w:sz w:val="32"/>
          <w:szCs w:val="32"/>
          <w:u w:val="none"/>
        </w:rPr>
        <w:t>……………………………………2</w:t>
      </w:r>
      <w:bookmarkEnd w:id="3"/>
      <w:r>
        <w:rPr>
          <w:rStyle w:val="22"/>
          <w:rFonts w:hint="eastAsia" w:ascii="仿宋_GB2312" w:hAnsi="仿宋_GB2312" w:cs="仿宋_GB2312"/>
          <w:color w:val="000000"/>
          <w:sz w:val="32"/>
          <w:szCs w:val="32"/>
          <w:u w:val="none"/>
        </w:rPr>
        <w:t>7</w:t>
      </w:r>
      <w:r>
        <w:rPr>
          <w:rStyle w:val="22"/>
          <w:rFonts w:hint="eastAsia" w:ascii="仿宋_GB2312" w:hAnsi="仿宋_GB2312" w:cs="仿宋_GB2312"/>
          <w:color w:val="000000"/>
          <w:sz w:val="32"/>
          <w:szCs w:val="32"/>
          <w:u w:val="none"/>
        </w:rPr>
        <w:fldChar w:fldCharType="end"/>
      </w:r>
    </w:p>
    <w:p>
      <w:pPr>
        <w:pStyle w:val="14"/>
        <w:widowControl w:val="0"/>
        <w:tabs>
          <w:tab w:val="right" w:leader="dot" w:pos="8730"/>
        </w:tabs>
        <w:spacing w:before="0" w:beforeAutospacing="0" w:after="0" w:afterAutospacing="0" w:line="600" w:lineRule="exact"/>
        <w:ind w:firstLine="0" w:firstLineChars="0"/>
        <w:jc w:val="distribute"/>
        <w:rPr>
          <w:rFonts w:ascii="仿宋_GB2312" w:hAnsi="仿宋_GB2312" w:cs="仿宋_GB2312"/>
          <w:color w:val="000000"/>
          <w:sz w:val="32"/>
          <w:szCs w:val="32"/>
        </w:rPr>
      </w:pPr>
      <w:r>
        <w:fldChar w:fldCharType="begin"/>
      </w:r>
      <w:r>
        <w:instrText xml:space="preserve"> HYPERLINK "file:///C:\\Users\\Administrator\\Desktop\\关于开展2020年度安徽省上规模民营企业调研及百强排序活动的通知.doc" \l "_Toc29279_WPSOffice_Level1" </w:instrText>
      </w:r>
      <w:r>
        <w:fldChar w:fldCharType="separate"/>
      </w:r>
      <w:r>
        <w:rPr>
          <w:rStyle w:val="22"/>
          <w:rFonts w:hint="eastAsia" w:ascii="仿宋_GB2312" w:hAnsi="仿宋_GB2312" w:cs="仿宋_GB2312"/>
          <w:color w:val="000000"/>
          <w:sz w:val="32"/>
          <w:szCs w:val="32"/>
          <w:u w:val="none"/>
        </w:rPr>
        <w:t>三、主编/参编国际、国家或行业标准（2020年度）</w:t>
      </w:r>
      <w:bookmarkStart w:id="4" w:name="_Toc29279_WPSOffice_Level1Page"/>
      <w:r>
        <w:rPr>
          <w:rStyle w:val="22"/>
          <w:rFonts w:hint="eastAsia" w:ascii="仿宋_GB2312" w:hAnsi="仿宋_GB2312" w:cs="仿宋_GB2312"/>
          <w:color w:val="000000"/>
          <w:sz w:val="32"/>
          <w:szCs w:val="32"/>
          <w:u w:val="none"/>
        </w:rPr>
        <w:t>…………………2</w:t>
      </w:r>
      <w:bookmarkEnd w:id="4"/>
      <w:r>
        <w:rPr>
          <w:rStyle w:val="22"/>
          <w:rFonts w:hint="eastAsia" w:ascii="仿宋_GB2312" w:hAnsi="仿宋_GB2312" w:cs="仿宋_GB2312"/>
          <w:color w:val="000000"/>
          <w:sz w:val="32"/>
          <w:szCs w:val="32"/>
          <w:u w:val="none"/>
        </w:rPr>
        <w:t>7</w:t>
      </w:r>
      <w:r>
        <w:rPr>
          <w:rStyle w:val="22"/>
          <w:rFonts w:hint="eastAsia" w:ascii="仿宋_GB2312" w:hAnsi="仿宋_GB2312" w:cs="仿宋_GB2312"/>
          <w:color w:val="000000"/>
          <w:sz w:val="32"/>
          <w:szCs w:val="32"/>
          <w:u w:val="none"/>
        </w:rPr>
        <w:fldChar w:fldCharType="end"/>
      </w:r>
    </w:p>
    <w:p>
      <w:pPr>
        <w:pStyle w:val="14"/>
        <w:widowControl w:val="0"/>
        <w:tabs>
          <w:tab w:val="right" w:leader="dot" w:pos="8730"/>
        </w:tabs>
        <w:spacing w:before="0" w:beforeAutospacing="0" w:after="0" w:afterAutospacing="0" w:line="600" w:lineRule="exact"/>
        <w:ind w:firstLine="0" w:firstLineChars="0"/>
        <w:jc w:val="distribute"/>
        <w:rPr>
          <w:rStyle w:val="22"/>
          <w:rFonts w:ascii="仿宋_GB2312" w:hAnsi="仿宋_GB2312" w:cs="仿宋_GB2312"/>
          <w:color w:val="000000"/>
          <w:sz w:val="32"/>
          <w:szCs w:val="32"/>
          <w:u w:val="none"/>
        </w:rPr>
      </w:pPr>
      <w:r>
        <w:rPr>
          <w:rFonts w:hint="eastAsia" w:ascii="仿宋_GB2312" w:hAnsi="仿宋_GB2312" w:cs="仿宋_GB2312"/>
          <w:sz w:val="32"/>
          <w:szCs w:val="32"/>
        </w:rPr>
        <w:fldChar w:fldCharType="begin"/>
      </w:r>
      <w:r>
        <w:rPr>
          <w:rFonts w:hint="eastAsia" w:ascii="仿宋_GB2312" w:hAnsi="仿宋_GB2312" w:cs="仿宋_GB2312"/>
          <w:sz w:val="32"/>
          <w:szCs w:val="32"/>
        </w:rPr>
        <w:instrText xml:space="preserve"> HYPERLINK "file:///C:\\Users\\Administrator\\Desktop\\关于开展2020年度安徽省上规模民营企业调研及百强排序活动的通知.doc" \l "_Toc27738_WPSOffice_Level1" </w:instrText>
      </w:r>
      <w:r>
        <w:rPr>
          <w:rFonts w:hint="eastAsia" w:ascii="仿宋_GB2312" w:hAnsi="仿宋_GB2312" w:cs="仿宋_GB2312"/>
          <w:sz w:val="32"/>
          <w:szCs w:val="32"/>
        </w:rPr>
        <w:fldChar w:fldCharType="separate"/>
      </w:r>
      <w:r>
        <w:rPr>
          <w:rStyle w:val="22"/>
          <w:rFonts w:hint="eastAsia" w:ascii="仿宋_GB2312" w:hAnsi="仿宋_GB2312" w:cs="仿宋_GB2312"/>
          <w:color w:val="000000"/>
          <w:sz w:val="32"/>
          <w:szCs w:val="32"/>
          <w:u w:val="none"/>
        </w:rPr>
        <w:t>四、企业技术中心、实验室获得有关部门认定情况（有效期内）</w:t>
      </w:r>
    </w:p>
    <w:p>
      <w:pPr>
        <w:pStyle w:val="14"/>
        <w:widowControl w:val="0"/>
        <w:tabs>
          <w:tab w:val="right" w:leader="dot" w:pos="8730"/>
        </w:tabs>
        <w:spacing w:before="0" w:beforeAutospacing="0" w:after="0" w:afterAutospacing="0" w:line="600" w:lineRule="exact"/>
        <w:ind w:firstLine="640"/>
        <w:jc w:val="distribute"/>
        <w:rPr>
          <w:rFonts w:ascii="仿宋_GB2312" w:hAnsi="仿宋_GB2312" w:cs="仿宋_GB2312"/>
          <w:color w:val="000000"/>
          <w:sz w:val="32"/>
          <w:szCs w:val="32"/>
        </w:rPr>
      </w:pPr>
      <w:bookmarkStart w:id="5" w:name="_Toc27738_WPSOffice_Level1Page"/>
      <w:r>
        <w:rPr>
          <w:rStyle w:val="22"/>
          <w:rFonts w:hint="eastAsia" w:ascii="仿宋_GB2312" w:hAnsi="仿宋_GB2312" w:cs="仿宋_GB2312"/>
          <w:color w:val="000000"/>
          <w:sz w:val="32"/>
          <w:szCs w:val="32"/>
          <w:u w:val="none"/>
        </w:rPr>
        <w:t>………………………………………………………………………25</w:t>
      </w:r>
      <w:bookmarkEnd w:id="5"/>
      <w:r>
        <w:rPr>
          <w:rFonts w:hint="eastAsia" w:ascii="仿宋_GB2312" w:hAnsi="仿宋_GB2312" w:cs="仿宋_GB2312"/>
          <w:sz w:val="32"/>
          <w:szCs w:val="32"/>
        </w:rPr>
        <w:fldChar w:fldCharType="end"/>
      </w:r>
      <w:bookmarkEnd w:id="1"/>
    </w:p>
    <w:p>
      <w:pPr>
        <w:pStyle w:val="14"/>
        <w:widowControl w:val="0"/>
        <w:tabs>
          <w:tab w:val="right" w:leader="dot" w:pos="8730"/>
        </w:tabs>
        <w:spacing w:before="0" w:beforeAutospacing="0" w:after="0" w:afterAutospacing="0"/>
        <w:ind w:firstLine="640"/>
        <w:jc w:val="left"/>
        <w:rPr>
          <w:rFonts w:ascii="仿宋_GB2312" w:hAnsi="仿宋_GB2312" w:cs="仿宋_GB2312"/>
          <w:color w:val="000000"/>
          <w:sz w:val="32"/>
          <w:szCs w:val="32"/>
        </w:rPr>
      </w:pPr>
    </w:p>
    <w:p>
      <w:pPr>
        <w:widowControl w:val="0"/>
        <w:ind w:firstLine="640"/>
        <w:rPr>
          <w:rFonts w:ascii="仿宋_GB2312" w:hAnsi="仿宋_GB2312" w:cs="仿宋_GB2312"/>
          <w:color w:val="000000"/>
          <w:sz w:val="32"/>
          <w:szCs w:val="32"/>
        </w:rPr>
        <w:sectPr>
          <w:type w:val="continuous"/>
          <w:pgSz w:w="11906" w:h="16838"/>
          <w:pgMar w:top="1588" w:right="1077" w:bottom="1588" w:left="1077" w:header="851" w:footer="992" w:gutter="0"/>
          <w:cols w:space="0" w:num="1"/>
          <w:docGrid w:type="lines" w:linePitch="390" w:charSpace="0"/>
        </w:sectPr>
      </w:pPr>
    </w:p>
    <w:p>
      <w:pPr>
        <w:widowControl w:val="0"/>
        <w:spacing w:afterLines="50" w:line="600" w:lineRule="exact"/>
        <w:ind w:firstLine="0" w:firstLineChars="0"/>
        <w:jc w:val="left"/>
        <w:rPr>
          <w:rFonts w:ascii="黑体" w:hAnsi="Calibri" w:eastAsia="黑体" w:cs="黑体"/>
          <w:color w:val="000000"/>
          <w:kern w:val="2"/>
          <w:sz w:val="32"/>
          <w:szCs w:val="32"/>
        </w:rPr>
      </w:pPr>
      <w:bookmarkStart w:id="6" w:name="_Toc4135_WPSOffice_Level1"/>
      <w:r>
        <w:rPr>
          <w:rFonts w:hint="eastAsia" w:ascii="黑体" w:hAnsi="Calibri" w:eastAsia="黑体" w:cs="黑体"/>
          <w:color w:val="000000"/>
          <w:kern w:val="2"/>
          <w:sz w:val="32"/>
          <w:szCs w:val="32"/>
        </w:rPr>
        <w:t>一、国内外有效专利（仅填写2020年度材料）</w:t>
      </w:r>
      <w:bookmarkEnd w:id="6"/>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686"/>
        <w:gridCol w:w="304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bookmarkStart w:id="7" w:name="_Toc7276_WPSOffice_Level2"/>
            <w:r>
              <w:rPr>
                <w:rFonts w:hint="eastAsia" w:ascii="仿宋_GB2312" w:hAnsi="Calibri" w:cs="仿宋_GB2312"/>
                <w:color w:val="000000"/>
                <w:kern w:val="2"/>
                <w:sz w:val="24"/>
              </w:rPr>
              <w:t>序号</w:t>
            </w:r>
            <w:bookmarkEnd w:id="7"/>
          </w:p>
        </w:tc>
        <w:tc>
          <w:tcPr>
            <w:tcW w:w="4102"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专利名称</w:t>
            </w:r>
          </w:p>
        </w:tc>
        <w:tc>
          <w:tcPr>
            <w:tcW w:w="2661"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类型：</w:t>
            </w:r>
          </w:p>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（国内/国际）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 w:val="24"/>
              </w:rPr>
            </w:pPr>
          </w:p>
        </w:tc>
      </w:tr>
    </w:tbl>
    <w:p>
      <w:pPr>
        <w:widowControl w:val="0"/>
        <w:ind w:firstLine="0" w:firstLineChars="0"/>
        <w:jc w:val="center"/>
        <w:rPr>
          <w:rFonts w:ascii="仿宋_GB2312" w:hAnsi="Calibri" w:cs="仿宋_GB2312"/>
          <w:color w:val="000000"/>
          <w:kern w:val="2"/>
          <w:szCs w:val="28"/>
        </w:rPr>
      </w:pPr>
      <w:bookmarkStart w:id="8" w:name="_Toc28515_WPSOffice_Level2"/>
      <w:bookmarkEnd w:id="8"/>
      <w:r>
        <w:rPr>
          <w:rFonts w:hint="eastAsia" w:ascii="仿宋_GB2312" w:hAnsi="Calibri" w:cs="仿宋_GB2312"/>
          <w:color w:val="000000"/>
          <w:kern w:val="2"/>
          <w:szCs w:val="28"/>
        </w:rPr>
        <w:t>（插入证明材料扫描或复印图片）</w:t>
      </w:r>
    </w:p>
    <w:p>
      <w:pPr>
        <w:widowControl w:val="0"/>
        <w:spacing w:line="600" w:lineRule="exact"/>
        <w:ind w:firstLine="640"/>
        <w:jc w:val="left"/>
        <w:rPr>
          <w:rFonts w:ascii="仿宋_GB2312" w:cs="仿宋_GB2312"/>
          <w:color w:val="000000"/>
          <w:sz w:val="32"/>
          <w:szCs w:val="32"/>
        </w:rPr>
      </w:pPr>
      <w:r>
        <w:rPr>
          <w:rFonts w:hint="eastAsia" w:ascii="仿宋_GB2312" w:hAnsi="Calibri" w:cs="仿宋_GB2312"/>
          <w:color w:val="000000"/>
          <w:kern w:val="2"/>
          <w:sz w:val="32"/>
          <w:szCs w:val="32"/>
        </w:rPr>
        <w:t xml:space="preserve"> </w:t>
      </w:r>
    </w:p>
    <w:p>
      <w:pPr>
        <w:widowControl w:val="0"/>
        <w:spacing w:afterLines="50" w:line="600" w:lineRule="exact"/>
        <w:ind w:firstLine="0" w:firstLineChars="0"/>
        <w:jc w:val="left"/>
        <w:rPr>
          <w:rFonts w:ascii="黑体" w:hAnsi="Calibri" w:eastAsia="黑体" w:cs="黑体"/>
          <w:color w:val="000000"/>
          <w:kern w:val="2"/>
          <w:sz w:val="32"/>
          <w:szCs w:val="32"/>
        </w:rPr>
      </w:pPr>
      <w:bookmarkStart w:id="9" w:name="_Toc28515_WPSOffice_Level1"/>
      <w:bookmarkEnd w:id="9"/>
      <w:bookmarkStart w:id="10" w:name="_Toc15176_WPSOffice_Level1"/>
      <w:r>
        <w:rPr>
          <w:rFonts w:hint="eastAsia" w:ascii="黑体" w:hAnsi="Calibri" w:eastAsia="黑体" w:cs="黑体"/>
          <w:color w:val="000000"/>
          <w:kern w:val="2"/>
          <w:sz w:val="32"/>
          <w:szCs w:val="32"/>
        </w:rPr>
        <w:t>二、国内外有效商标</w:t>
      </w:r>
      <w:bookmarkEnd w:id="10"/>
      <w:r>
        <w:rPr>
          <w:rFonts w:hint="eastAsia" w:ascii="黑体" w:hAnsi="Calibri" w:eastAsia="黑体" w:cs="黑体"/>
          <w:color w:val="000000"/>
          <w:kern w:val="2"/>
          <w:sz w:val="32"/>
          <w:szCs w:val="32"/>
        </w:rPr>
        <w:t>（仅填写2020年度材料）</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686"/>
        <w:gridCol w:w="304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序号</w:t>
            </w:r>
          </w:p>
        </w:tc>
        <w:tc>
          <w:tcPr>
            <w:tcW w:w="4102"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商标名称</w:t>
            </w:r>
          </w:p>
        </w:tc>
        <w:tc>
          <w:tcPr>
            <w:tcW w:w="2661"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类型：</w:t>
            </w:r>
          </w:p>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（国内/国际）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bl>
    <w:p>
      <w:pPr>
        <w:widowControl w:val="0"/>
        <w:ind w:firstLine="0" w:firstLineChars="0"/>
        <w:jc w:val="center"/>
        <w:rPr>
          <w:rFonts w:ascii="仿宋_GB2312" w:hAnsi="Calibri" w:cs="仿宋_GB2312"/>
          <w:color w:val="000000"/>
          <w:kern w:val="2"/>
          <w:szCs w:val="28"/>
        </w:rPr>
      </w:pPr>
      <w:bookmarkStart w:id="11" w:name="_Toc22367_WPSOffice_Level2"/>
      <w:bookmarkEnd w:id="11"/>
      <w:r>
        <w:rPr>
          <w:rFonts w:hint="eastAsia" w:ascii="仿宋_GB2312" w:hAnsi="Calibri" w:cs="仿宋_GB2312"/>
          <w:color w:val="000000"/>
          <w:kern w:val="2"/>
          <w:szCs w:val="28"/>
        </w:rPr>
        <w:t>（插入证明材料扫描或复印图片）</w:t>
      </w:r>
    </w:p>
    <w:p>
      <w:pPr>
        <w:widowControl w:val="0"/>
        <w:spacing w:line="600" w:lineRule="exact"/>
        <w:ind w:firstLine="560"/>
        <w:jc w:val="center"/>
        <w:rPr>
          <w:rFonts w:ascii="仿宋_GB2312" w:cs="仿宋_GB2312"/>
          <w:color w:val="000000"/>
          <w:szCs w:val="28"/>
        </w:rPr>
      </w:pPr>
      <w:r>
        <w:rPr>
          <w:rFonts w:hint="eastAsia" w:ascii="仿宋_GB2312" w:hAnsi="Calibri" w:cs="仿宋_GB2312"/>
          <w:color w:val="000000"/>
          <w:kern w:val="2"/>
          <w:szCs w:val="28"/>
        </w:rPr>
        <w:t xml:space="preserve"> </w:t>
      </w:r>
    </w:p>
    <w:p>
      <w:pPr>
        <w:widowControl w:val="0"/>
        <w:spacing w:afterLines="50" w:line="600" w:lineRule="exact"/>
        <w:ind w:firstLine="0" w:firstLineChars="0"/>
        <w:jc w:val="left"/>
        <w:rPr>
          <w:rFonts w:ascii="黑体" w:hAnsi="Calibri" w:eastAsia="黑体" w:cs="黑体"/>
          <w:color w:val="000000"/>
          <w:kern w:val="2"/>
          <w:sz w:val="32"/>
          <w:szCs w:val="32"/>
        </w:rPr>
      </w:pPr>
      <w:bookmarkStart w:id="12" w:name="_Toc22367_WPSOffice_Level1"/>
      <w:bookmarkEnd w:id="12"/>
      <w:bookmarkStart w:id="13" w:name="_Toc29279_WPSOffice_Level1"/>
      <w:r>
        <w:rPr>
          <w:rFonts w:hint="eastAsia" w:ascii="黑体" w:hAnsi="Calibri" w:eastAsia="黑体" w:cs="黑体"/>
          <w:color w:val="000000"/>
          <w:kern w:val="2"/>
          <w:sz w:val="32"/>
          <w:szCs w:val="32"/>
        </w:rPr>
        <w:t>三、主编/参编国际、国家或行业标准</w:t>
      </w:r>
      <w:bookmarkEnd w:id="13"/>
      <w:r>
        <w:rPr>
          <w:rFonts w:hint="eastAsia" w:ascii="黑体" w:hAnsi="Calibri" w:eastAsia="黑体" w:cs="黑体"/>
          <w:color w:val="000000"/>
          <w:kern w:val="2"/>
          <w:sz w:val="32"/>
          <w:szCs w:val="32"/>
        </w:rPr>
        <w:t>（仅填写2020年度材料）</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686"/>
        <w:gridCol w:w="304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序号</w:t>
            </w:r>
          </w:p>
        </w:tc>
        <w:tc>
          <w:tcPr>
            <w:tcW w:w="4102"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标准名称</w:t>
            </w:r>
          </w:p>
        </w:tc>
        <w:tc>
          <w:tcPr>
            <w:tcW w:w="2661"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类型：</w:t>
            </w:r>
          </w:p>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（行业/国内/国际）</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bl>
    <w:p>
      <w:pPr>
        <w:widowControl w:val="0"/>
        <w:ind w:firstLine="0" w:firstLineChars="0"/>
        <w:jc w:val="center"/>
        <w:rPr>
          <w:rFonts w:ascii="仿宋_GB2312" w:hAnsi="Calibri" w:cs="仿宋_GB2312"/>
          <w:color w:val="000000"/>
          <w:kern w:val="2"/>
          <w:szCs w:val="28"/>
        </w:rPr>
      </w:pPr>
      <w:r>
        <w:rPr>
          <w:rFonts w:hint="eastAsia" w:ascii="仿宋_GB2312" w:hAnsi="Calibri" w:cs="仿宋_GB2312"/>
          <w:color w:val="000000"/>
          <w:kern w:val="2"/>
          <w:szCs w:val="28"/>
        </w:rPr>
        <w:t xml:space="preserve"> </w:t>
      </w:r>
      <w:bookmarkStart w:id="14" w:name="_Toc29766_WPSOffice_Level2"/>
      <w:bookmarkEnd w:id="14"/>
      <w:r>
        <w:rPr>
          <w:rFonts w:hint="eastAsia" w:ascii="仿宋_GB2312" w:hAnsi="Calibri" w:cs="仿宋_GB2312"/>
          <w:color w:val="000000"/>
          <w:kern w:val="2"/>
          <w:szCs w:val="28"/>
        </w:rPr>
        <w:t>（插入证明材料扫描或复印图片）</w:t>
      </w:r>
    </w:p>
    <w:p>
      <w:pPr>
        <w:widowControl w:val="0"/>
        <w:spacing w:line="600" w:lineRule="exact"/>
        <w:ind w:firstLine="560"/>
        <w:jc w:val="center"/>
        <w:rPr>
          <w:rFonts w:ascii="仿宋_GB2312" w:cs="仿宋_GB2312"/>
          <w:color w:val="000000"/>
          <w:szCs w:val="28"/>
        </w:rPr>
      </w:pPr>
      <w:r>
        <w:rPr>
          <w:rFonts w:hint="eastAsia" w:ascii="仿宋_GB2312" w:hAnsi="Calibri" w:cs="仿宋_GB2312"/>
          <w:color w:val="000000"/>
          <w:kern w:val="2"/>
          <w:szCs w:val="28"/>
        </w:rPr>
        <w:t xml:space="preserve"> </w:t>
      </w:r>
    </w:p>
    <w:p>
      <w:pPr>
        <w:widowControl w:val="0"/>
        <w:spacing w:afterLines="50" w:line="600" w:lineRule="exact"/>
        <w:ind w:firstLine="0" w:firstLineChars="0"/>
        <w:jc w:val="left"/>
        <w:rPr>
          <w:rFonts w:ascii="黑体" w:hAnsi="Calibri" w:eastAsia="黑体" w:cs="黑体"/>
          <w:color w:val="000000"/>
          <w:spacing w:val="-6"/>
          <w:kern w:val="2"/>
          <w:sz w:val="32"/>
          <w:szCs w:val="32"/>
        </w:rPr>
      </w:pPr>
      <w:bookmarkStart w:id="15" w:name="_Toc29766_WPSOffice_Level1"/>
      <w:bookmarkEnd w:id="15"/>
      <w:bookmarkStart w:id="16" w:name="_Toc27738_WPSOffice_Level1"/>
      <w:r>
        <w:rPr>
          <w:rFonts w:hint="eastAsia" w:ascii="黑体" w:hAnsi="Calibri" w:eastAsia="黑体" w:cs="黑体"/>
          <w:color w:val="000000"/>
          <w:spacing w:val="-6"/>
          <w:kern w:val="2"/>
          <w:sz w:val="32"/>
          <w:szCs w:val="32"/>
        </w:rPr>
        <w:t>四、企业技术中心、实验室获得有关部门认定情况（填写有效期内的材料）</w:t>
      </w:r>
      <w:bookmarkEnd w:id="16"/>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686"/>
        <w:gridCol w:w="304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序号</w:t>
            </w:r>
          </w:p>
        </w:tc>
        <w:tc>
          <w:tcPr>
            <w:tcW w:w="4102"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企业技术中心、实验室名称</w:t>
            </w:r>
          </w:p>
        </w:tc>
        <w:tc>
          <w:tcPr>
            <w:tcW w:w="2661"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rPr>
                <w:rFonts w:ascii="仿宋_GB2312" w:cs="仿宋_GB2312"/>
                <w:color w:val="000000"/>
                <w:kern w:val="2"/>
                <w:sz w:val="24"/>
              </w:rPr>
            </w:pPr>
            <w:r>
              <w:rPr>
                <w:rFonts w:hint="eastAsia" w:ascii="仿宋_GB2312" w:hAnsi="Calibri" w:cs="仿宋_GB2312"/>
                <w:color w:val="000000"/>
                <w:kern w:val="2"/>
                <w:sz w:val="24"/>
              </w:rPr>
              <w:t>类型：</w:t>
            </w:r>
          </w:p>
          <w:p>
            <w:pPr>
              <w:widowControl w:val="0"/>
              <w:autoSpaceDE w:val="0"/>
              <w:spacing w:line="240" w:lineRule="atLeast"/>
              <w:ind w:firstLine="0" w:firstLineChars="0"/>
              <w:rPr>
                <w:rFonts w:ascii="仿宋_GB2312" w:cs="仿宋_GB2312"/>
                <w:color w:val="000000"/>
                <w:kern w:val="2"/>
                <w:sz w:val="24"/>
              </w:rPr>
            </w:pPr>
            <w:r>
              <w:rPr>
                <w:rFonts w:hint="eastAsia" w:ascii="仿宋_GB2312" w:hAnsi="Calibri" w:cs="仿宋_GB2312"/>
                <w:color w:val="000000"/>
                <w:kern w:val="2"/>
                <w:sz w:val="24"/>
              </w:rPr>
              <w:t>（国家重点实验室/国家工程实验室/国家级企业技术中心/国家工程研究中心）</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val="0"/>
              <w:autoSpaceDE w:val="0"/>
              <w:spacing w:line="240" w:lineRule="atLeast"/>
              <w:ind w:firstLine="0" w:firstLineChars="0"/>
              <w:jc w:val="center"/>
              <w:rPr>
                <w:rFonts w:ascii="仿宋_GB2312" w:cs="仿宋_GB2312"/>
                <w:color w:val="000000"/>
                <w:kern w:val="2"/>
                <w:sz w:val="24"/>
              </w:rPr>
            </w:pPr>
            <w:r>
              <w:rPr>
                <w:rFonts w:hint="eastAsia" w:ascii="仿宋_GB2312" w:hAnsi="Calibri" w:cs="仿宋_GB2312"/>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4102"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2661"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c>
          <w:tcPr>
            <w:tcW w:w="1025" w:type="dxa"/>
            <w:tcBorders>
              <w:top w:val="single" w:color="auto" w:sz="4" w:space="0"/>
              <w:left w:val="nil"/>
              <w:bottom w:val="single" w:color="auto" w:sz="4" w:space="0"/>
              <w:right w:val="single" w:color="auto" w:sz="4" w:space="0"/>
            </w:tcBorders>
            <w:shd w:val="clear" w:color="auto" w:fill="auto"/>
          </w:tcPr>
          <w:p>
            <w:pPr>
              <w:widowControl w:val="0"/>
              <w:spacing w:line="240" w:lineRule="atLeast"/>
              <w:ind w:firstLine="0" w:firstLineChars="0"/>
              <w:jc w:val="center"/>
              <w:rPr>
                <w:rFonts w:ascii="仿宋_GB2312" w:cs="仿宋_GB2312"/>
                <w:color w:val="000000"/>
                <w:kern w:val="2"/>
                <w:szCs w:val="28"/>
              </w:rPr>
            </w:pPr>
          </w:p>
        </w:tc>
      </w:tr>
    </w:tbl>
    <w:p>
      <w:pPr>
        <w:widowControl w:val="0"/>
        <w:ind w:firstLine="0" w:firstLineChars="0"/>
        <w:jc w:val="center"/>
        <w:rPr>
          <w:rFonts w:ascii="仿宋_GB2312" w:hAnsi="Calibri" w:cs="仿宋_GB2312"/>
          <w:color w:val="000000"/>
          <w:kern w:val="2"/>
          <w:szCs w:val="28"/>
        </w:rPr>
      </w:pPr>
      <w:bookmarkStart w:id="17" w:name="_Toc6510_WPSOffice_Level2"/>
      <w:bookmarkEnd w:id="17"/>
      <w:r>
        <w:rPr>
          <w:rFonts w:hint="eastAsia" w:ascii="仿宋_GB2312" w:hAnsi="Calibri" w:cs="仿宋_GB2312"/>
          <w:color w:val="000000"/>
          <w:kern w:val="2"/>
          <w:szCs w:val="28"/>
        </w:rPr>
        <w:t>（插入证明材料扫描或复印图片）</w:t>
      </w:r>
    </w:p>
    <w:p>
      <w:pPr>
        <w:widowControl w:val="0"/>
        <w:spacing w:line="600" w:lineRule="exact"/>
        <w:ind w:firstLine="560"/>
        <w:jc w:val="center"/>
        <w:rPr>
          <w:color w:val="000000"/>
        </w:rPr>
      </w:pPr>
    </w:p>
    <w:p>
      <w:pPr>
        <w:widowControl w:val="0"/>
        <w:spacing w:line="380" w:lineRule="exact"/>
        <w:ind w:firstLine="840" w:firstLineChars="300"/>
        <w:rPr>
          <w:rFonts w:eastAsia="宋体"/>
        </w:rPr>
      </w:pPr>
    </w:p>
    <w:p>
      <w:pPr>
        <w:widowControl w:val="0"/>
        <w:ind w:firstLine="560"/>
      </w:pPr>
    </w:p>
    <w:sectPr>
      <w:pgSz w:w="11906" w:h="16838"/>
      <w:pgMar w:top="1587" w:right="1077" w:bottom="1587" w:left="1077" w:header="851" w:footer="992" w:gutter="0"/>
      <w:cols w:space="0" w:num="1"/>
      <w:docGrid w:type="lines" w:linePitch="3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FNPMPD+X7759881D">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-137795</wp:posOffset>
              </wp:positionV>
              <wp:extent cx="243840" cy="448945"/>
              <wp:effectExtent l="0" t="0" r="0" b="0"/>
              <wp:wrapNone/>
              <wp:docPr id="7" name="文本框 1"/>
              <wp:cNvGraphicFramePr/>
              <a:graphic xmlns:a="http://schemas.openxmlformats.org/drawingml/2006/main">
                <a:graphicData uri="http://schemas.microsoft.com/office/word/2010/wordprocessingShape">
                  <wps:wsp>
                    <wps:cNvSpPr txBox="1"/>
                    <wps:spPr>
                      <a:xfrm>
                        <a:off x="0" y="0"/>
                        <a:ext cx="95885" cy="448945"/>
                      </a:xfrm>
                      <a:prstGeom prst="rect">
                        <a:avLst/>
                      </a:prstGeom>
                      <a:noFill/>
                      <a:ln w="6350">
                        <a:noFill/>
                      </a:ln>
                      <a:effectLst/>
                    </wps:spPr>
                    <wps:txbx>
                      <w:txbxContent>
                        <w:p>
                          <w:pPr>
                            <w:pStyle w:val="10"/>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 o:spid="_x0000_s1026" o:spt="202" type="#_x0000_t202" style="position:absolute;left:0pt;margin-top:-10.85pt;height:35.35pt;width:19.2pt;mso-position-horizontal:outside;mso-position-horizontal-relative:margin;z-index:251659264;mso-width-relative:page;mso-height-relative:page;" filled="f" stroked="f" coordsize="21600,21600" o:gfxdata="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Sa9tR1gAAAAYBAAAPAAAAAAAAAAEAIAAAACIAAABkcnMv&#10;ZG93bnJldi54bWxQSwECFAAUAAAACACHTuJAjVhAvT4CAABuBAAADgAAAAAAAAABACAAAAAlAQAA&#10;ZHJzL2Uyb0RvYy54bWxQSwUGAAAAAAYABgBZAQAA1QUAAAAA&#10;">
              <v:fill on="f" focussize="0,0"/>
              <v:stroke on="f" weight="0.5pt"/>
              <v:imagedata o:title=""/>
              <o:lock v:ext="edit" aspectratio="f"/>
              <v:textbox inset="0mm,0mm,0mm,0mm">
                <w:txbxContent>
                  <w:p>
                    <w:pPr>
                      <w:pStyle w:val="10"/>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560"/>
      </w:pPr>
      <w:r>
        <w:separator/>
      </w:r>
    </w:p>
  </w:footnote>
  <w:footnote w:type="continuationSeparator" w:id="3">
    <w:p>
      <w:pPr>
        <w:spacing w:line="240" w:lineRule="auto"/>
        <w:ind w:firstLine="560"/>
      </w:pPr>
      <w:r>
        <w:continuationSeparator/>
      </w:r>
    </w:p>
  </w:footnote>
  <w:footnote w:id="0">
    <w:p>
      <w:pPr>
        <w:pStyle w:val="14"/>
        <w:widowControl w:val="0"/>
        <w:snapToGrid w:val="0"/>
        <w:spacing w:before="0" w:beforeAutospacing="0" w:after="0" w:afterAutospacing="0"/>
        <w:ind w:firstLine="420"/>
        <w:jc w:val="left"/>
      </w:pPr>
      <w:r>
        <w:rPr>
          <w:rStyle w:val="24"/>
          <w:rFonts w:ascii="Calibri" w:hAnsi="Calibri" w:eastAsia="宋体" w:cs="Times New Roman"/>
          <w:kern w:val="2"/>
          <w:sz w:val="21"/>
        </w:rPr>
        <w:footnoteRef/>
      </w:r>
      <w:r>
        <w:rPr>
          <w:rFonts w:ascii="Calibri" w:hAnsi="Calibri" w:eastAsia="宋体" w:cs="Times New Roman"/>
          <w:kern w:val="2"/>
          <w:sz w:val="21"/>
        </w:rPr>
        <w:t xml:space="preserve"> </w:t>
      </w:r>
      <w:r>
        <w:rPr>
          <w:rFonts w:hint="eastAsia" w:ascii="Calibri" w:hAnsi="Calibri" w:eastAsia="宋体"/>
          <w:kern w:val="2"/>
          <w:sz w:val="21"/>
        </w:rPr>
        <w:t>制度性交易成本是指企业因遵循政府制定的各种制度、规章、政策而需要付出的成本，如行政审批、市场监管、知识产权保护、进出口等方面产生的成本。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95"/>
  <w:displayHorizontalDrawingGridEvery w:val="0"/>
  <w:displayVerticalDrawingGridEvery w:val="2"/>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9E"/>
    <w:rsid w:val="00076CE6"/>
    <w:rsid w:val="000B7825"/>
    <w:rsid w:val="000C5780"/>
    <w:rsid w:val="000E6425"/>
    <w:rsid w:val="000E6ADC"/>
    <w:rsid w:val="000F5B12"/>
    <w:rsid w:val="00105A18"/>
    <w:rsid w:val="001110C8"/>
    <w:rsid w:val="00117F25"/>
    <w:rsid w:val="00142A2A"/>
    <w:rsid w:val="0017493A"/>
    <w:rsid w:val="001C776F"/>
    <w:rsid w:val="001E7065"/>
    <w:rsid w:val="00222456"/>
    <w:rsid w:val="002237CC"/>
    <w:rsid w:val="0024377B"/>
    <w:rsid w:val="00245DFE"/>
    <w:rsid w:val="002615DC"/>
    <w:rsid w:val="002737EF"/>
    <w:rsid w:val="00290DB8"/>
    <w:rsid w:val="002F0CEE"/>
    <w:rsid w:val="002F749B"/>
    <w:rsid w:val="003106BF"/>
    <w:rsid w:val="00320247"/>
    <w:rsid w:val="00342434"/>
    <w:rsid w:val="00344887"/>
    <w:rsid w:val="00354985"/>
    <w:rsid w:val="003671EA"/>
    <w:rsid w:val="003678A6"/>
    <w:rsid w:val="00383ACC"/>
    <w:rsid w:val="00383F03"/>
    <w:rsid w:val="00390645"/>
    <w:rsid w:val="0039200F"/>
    <w:rsid w:val="003A148D"/>
    <w:rsid w:val="003A448C"/>
    <w:rsid w:val="003A5472"/>
    <w:rsid w:val="003D0A28"/>
    <w:rsid w:val="003E39E1"/>
    <w:rsid w:val="003E74DB"/>
    <w:rsid w:val="003F2323"/>
    <w:rsid w:val="004271B5"/>
    <w:rsid w:val="00446B9C"/>
    <w:rsid w:val="00466209"/>
    <w:rsid w:val="0049119E"/>
    <w:rsid w:val="004C77AE"/>
    <w:rsid w:val="004C79AA"/>
    <w:rsid w:val="005047EE"/>
    <w:rsid w:val="00505421"/>
    <w:rsid w:val="0052180E"/>
    <w:rsid w:val="00526087"/>
    <w:rsid w:val="00534290"/>
    <w:rsid w:val="00565960"/>
    <w:rsid w:val="005E4F1F"/>
    <w:rsid w:val="00603B6A"/>
    <w:rsid w:val="00620D77"/>
    <w:rsid w:val="00621128"/>
    <w:rsid w:val="00630133"/>
    <w:rsid w:val="00634164"/>
    <w:rsid w:val="0068093C"/>
    <w:rsid w:val="006956A9"/>
    <w:rsid w:val="006B052D"/>
    <w:rsid w:val="006B2AF2"/>
    <w:rsid w:val="006B70BD"/>
    <w:rsid w:val="007709B5"/>
    <w:rsid w:val="00771120"/>
    <w:rsid w:val="00783762"/>
    <w:rsid w:val="00793F12"/>
    <w:rsid w:val="007A0ED3"/>
    <w:rsid w:val="007E45D0"/>
    <w:rsid w:val="00837BFB"/>
    <w:rsid w:val="00850295"/>
    <w:rsid w:val="00871061"/>
    <w:rsid w:val="008968DC"/>
    <w:rsid w:val="008C46F0"/>
    <w:rsid w:val="008F3740"/>
    <w:rsid w:val="009046B3"/>
    <w:rsid w:val="00920B7C"/>
    <w:rsid w:val="00936B9E"/>
    <w:rsid w:val="00940D63"/>
    <w:rsid w:val="00956D78"/>
    <w:rsid w:val="00963685"/>
    <w:rsid w:val="00972A87"/>
    <w:rsid w:val="00984DF5"/>
    <w:rsid w:val="00994EB0"/>
    <w:rsid w:val="009D0C70"/>
    <w:rsid w:val="009E2DD5"/>
    <w:rsid w:val="00A07846"/>
    <w:rsid w:val="00A25203"/>
    <w:rsid w:val="00A258E0"/>
    <w:rsid w:val="00A260DE"/>
    <w:rsid w:val="00A6485A"/>
    <w:rsid w:val="00A978E1"/>
    <w:rsid w:val="00AA2D33"/>
    <w:rsid w:val="00AB715E"/>
    <w:rsid w:val="00AC5D79"/>
    <w:rsid w:val="00AF1B6E"/>
    <w:rsid w:val="00B0661B"/>
    <w:rsid w:val="00B07727"/>
    <w:rsid w:val="00B11656"/>
    <w:rsid w:val="00B17173"/>
    <w:rsid w:val="00B2657F"/>
    <w:rsid w:val="00B5731A"/>
    <w:rsid w:val="00B650F0"/>
    <w:rsid w:val="00B75027"/>
    <w:rsid w:val="00B90432"/>
    <w:rsid w:val="00B94191"/>
    <w:rsid w:val="00BA1427"/>
    <w:rsid w:val="00BA18B2"/>
    <w:rsid w:val="00BB1D69"/>
    <w:rsid w:val="00BB33C2"/>
    <w:rsid w:val="00BC7568"/>
    <w:rsid w:val="00C01DF1"/>
    <w:rsid w:val="00C23C72"/>
    <w:rsid w:val="00C459D9"/>
    <w:rsid w:val="00C80D50"/>
    <w:rsid w:val="00CE6F4F"/>
    <w:rsid w:val="00D20810"/>
    <w:rsid w:val="00D701A6"/>
    <w:rsid w:val="00DC01B4"/>
    <w:rsid w:val="00DD2AAC"/>
    <w:rsid w:val="00DD5804"/>
    <w:rsid w:val="00DD66E8"/>
    <w:rsid w:val="00DF01B4"/>
    <w:rsid w:val="00E012EB"/>
    <w:rsid w:val="00E34BD7"/>
    <w:rsid w:val="00E4282F"/>
    <w:rsid w:val="00E504A7"/>
    <w:rsid w:val="00E640A2"/>
    <w:rsid w:val="00E959BC"/>
    <w:rsid w:val="00E964FB"/>
    <w:rsid w:val="00EA0133"/>
    <w:rsid w:val="00EA2BAE"/>
    <w:rsid w:val="00EA3353"/>
    <w:rsid w:val="00EA5A0C"/>
    <w:rsid w:val="00EA5AD6"/>
    <w:rsid w:val="00EA7189"/>
    <w:rsid w:val="00EC46FC"/>
    <w:rsid w:val="00EF7D6E"/>
    <w:rsid w:val="00F30A5C"/>
    <w:rsid w:val="00FC13DA"/>
    <w:rsid w:val="02E15085"/>
    <w:rsid w:val="065D5CE3"/>
    <w:rsid w:val="14EE7EE8"/>
    <w:rsid w:val="150713FF"/>
    <w:rsid w:val="196227BF"/>
    <w:rsid w:val="1C4B3532"/>
    <w:rsid w:val="2C5220AF"/>
    <w:rsid w:val="2DF9367E"/>
    <w:rsid w:val="2E2A1A0A"/>
    <w:rsid w:val="35DF31D6"/>
    <w:rsid w:val="399A36AF"/>
    <w:rsid w:val="42EC6160"/>
    <w:rsid w:val="457A6143"/>
    <w:rsid w:val="46243AE5"/>
    <w:rsid w:val="4A382F74"/>
    <w:rsid w:val="52D937D4"/>
    <w:rsid w:val="57E347B2"/>
    <w:rsid w:val="5B2A0B65"/>
    <w:rsid w:val="5BCD6239"/>
    <w:rsid w:val="69DD2CD8"/>
    <w:rsid w:val="69FA3EBA"/>
    <w:rsid w:val="6DAF2F68"/>
    <w:rsid w:val="7ED6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200" w:firstLineChars="200"/>
      <w:jc w:val="both"/>
    </w:pPr>
    <w:rPr>
      <w:rFonts w:ascii="宋体" w:hAnsi="宋体" w:eastAsia="仿宋_GB2312" w:cs="宋体"/>
      <w:sz w:val="28"/>
      <w:szCs w:val="24"/>
      <w:lang w:val="en-US" w:eastAsia="zh-CN" w:bidi="ar-SA"/>
    </w:rPr>
  </w:style>
  <w:style w:type="paragraph" w:styleId="2">
    <w:name w:val="heading 1"/>
    <w:basedOn w:val="1"/>
    <w:next w:val="1"/>
    <w:link w:val="41"/>
    <w:qFormat/>
    <w:uiPriority w:val="9"/>
    <w:pPr>
      <w:keepNext/>
      <w:keepLines/>
      <w:outlineLvl w:val="0"/>
    </w:pPr>
    <w:rPr>
      <w:rFonts w:eastAsia="仿宋"/>
      <w:b/>
      <w:bCs/>
      <w:kern w:val="44"/>
      <w:sz w:val="32"/>
      <w:szCs w:val="44"/>
    </w:rPr>
  </w:style>
  <w:style w:type="paragraph" w:styleId="3">
    <w:name w:val="heading 2"/>
    <w:basedOn w:val="1"/>
    <w:next w:val="1"/>
    <w:link w:val="42"/>
    <w:unhideWhenUsed/>
    <w:qFormat/>
    <w:uiPriority w:val="99"/>
    <w:pPr>
      <w:keepNext/>
      <w:keepLines/>
      <w:spacing w:before="120" w:after="120" w:line="415" w:lineRule="auto"/>
      <w:outlineLvl w:val="1"/>
    </w:pPr>
    <w:rPr>
      <w:rFonts w:ascii="等线 Light" w:hAnsi="等线 Light" w:eastAsia="黑体" w:cs="Times New Roman"/>
      <w:b/>
      <w:bCs/>
      <w:sz w:val="30"/>
      <w:szCs w:val="32"/>
    </w:rPr>
  </w:style>
  <w:style w:type="paragraph" w:styleId="4">
    <w:name w:val="heading 3"/>
    <w:basedOn w:val="1"/>
    <w:next w:val="1"/>
    <w:link w:val="44"/>
    <w:unhideWhenUsed/>
    <w:qFormat/>
    <w:uiPriority w:val="9"/>
    <w:pPr>
      <w:keepNext/>
      <w:keepLines/>
      <w:outlineLvl w:val="2"/>
    </w:pPr>
    <w:rPr>
      <w:rFonts w:eastAsia="仿宋"/>
      <w:b/>
      <w:bCs/>
      <w:sz w:val="30"/>
      <w:szCs w:val="32"/>
    </w:rPr>
  </w:style>
  <w:style w:type="paragraph" w:styleId="5">
    <w:name w:val="heading 4"/>
    <w:basedOn w:val="1"/>
    <w:next w:val="1"/>
    <w:link w:val="46"/>
    <w:unhideWhenUsed/>
    <w:qFormat/>
    <w:uiPriority w:val="9"/>
    <w:pPr>
      <w:keepNext/>
      <w:keepLines/>
      <w:spacing w:before="280" w:after="290" w:line="376" w:lineRule="auto"/>
      <w:outlineLvl w:val="3"/>
    </w:pPr>
    <w:rPr>
      <w:rFonts w:ascii="等线 Light" w:hAnsi="等线 Light" w:eastAsia="等线 Light" w:cs="Times New Roman"/>
      <w:b/>
      <w:bCs/>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2"/>
    <w:semiHidden/>
    <w:unhideWhenUsed/>
    <w:qFormat/>
    <w:uiPriority w:val="99"/>
    <w:pPr>
      <w:shd w:val="clear" w:color="auto" w:fill="000080"/>
    </w:pPr>
  </w:style>
  <w:style w:type="paragraph" w:styleId="7">
    <w:name w:val="annotation text"/>
    <w:basedOn w:val="1"/>
    <w:link w:val="55"/>
    <w:unhideWhenUsed/>
    <w:qFormat/>
    <w:uiPriority w:val="99"/>
  </w:style>
  <w:style w:type="paragraph" w:styleId="8">
    <w:name w:val="toc 3"/>
    <w:basedOn w:val="1"/>
    <w:next w:val="1"/>
    <w:unhideWhenUsed/>
    <w:qFormat/>
    <w:uiPriority w:val="39"/>
    <w:pPr>
      <w:ind w:left="840" w:leftChars="400"/>
    </w:pPr>
  </w:style>
  <w:style w:type="paragraph" w:styleId="9">
    <w:name w:val="Balloon Text"/>
    <w:basedOn w:val="1"/>
    <w:link w:val="53"/>
    <w:unhideWhenUsed/>
    <w:qFormat/>
    <w:uiPriority w:val="99"/>
    <w:rPr>
      <w:sz w:val="18"/>
      <w:szCs w:val="18"/>
    </w:rPr>
  </w:style>
  <w:style w:type="paragraph" w:styleId="10">
    <w:name w:val="footer"/>
    <w:basedOn w:val="1"/>
    <w:link w:val="57"/>
    <w:unhideWhenUsed/>
    <w:qFormat/>
    <w:uiPriority w:val="99"/>
    <w:pPr>
      <w:tabs>
        <w:tab w:val="center" w:pos="4153"/>
        <w:tab w:val="right" w:pos="8306"/>
      </w:tabs>
      <w:snapToGrid w:val="0"/>
    </w:pPr>
    <w:rPr>
      <w:sz w:val="18"/>
      <w:szCs w:val="18"/>
    </w:rPr>
  </w:style>
  <w:style w:type="paragraph" w:styleId="11">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link w:val="56"/>
    <w:unhideWhenUsed/>
    <w:qFormat/>
    <w:uiPriority w:val="99"/>
    <w:pPr>
      <w:widowControl w:val="0"/>
      <w:snapToGrid w:val="0"/>
    </w:pPr>
    <w:rPr>
      <w:rFonts w:ascii="等线" w:hAnsi="等线" w:eastAsia="等线" w:cs="Times New Roman"/>
      <w:kern w:val="2"/>
      <w:sz w:val="18"/>
      <w:szCs w:val="18"/>
    </w:rPr>
  </w:style>
  <w:style w:type="paragraph" w:styleId="14">
    <w:name w:val="Normal (Web)"/>
    <w:basedOn w:val="1"/>
    <w:unhideWhenUsed/>
    <w:qFormat/>
    <w:uiPriority w:val="99"/>
    <w:pPr>
      <w:spacing w:before="100" w:beforeAutospacing="1" w:after="100" w:afterAutospacing="1"/>
    </w:pPr>
  </w:style>
  <w:style w:type="paragraph" w:styleId="15">
    <w:name w:val="Title"/>
    <w:basedOn w:val="1"/>
    <w:qFormat/>
    <w:uiPriority w:val="0"/>
    <w:pPr>
      <w:spacing w:line="240" w:lineRule="auto"/>
      <w:ind w:firstLine="0" w:firstLineChars="0"/>
      <w:jc w:val="center"/>
      <w:outlineLvl w:val="0"/>
    </w:pPr>
    <w:rPr>
      <w:rFonts w:ascii="Arial" w:hAnsi="Arial" w:eastAsia="方正小标宋_GBK" w:cs="Arial"/>
      <w:bCs/>
      <w:sz w:val="36"/>
      <w:szCs w:val="32"/>
    </w:rPr>
  </w:style>
  <w:style w:type="paragraph" w:styleId="16">
    <w:name w:val="annotation subject"/>
    <w:basedOn w:val="7"/>
    <w:next w:val="7"/>
    <w:link w:val="58"/>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563C1"/>
      <w:u w:val="single"/>
    </w:rPr>
  </w:style>
  <w:style w:type="character" w:styleId="23">
    <w:name w:val="annotation reference"/>
    <w:basedOn w:val="19"/>
    <w:unhideWhenUsed/>
    <w:qFormat/>
    <w:uiPriority w:val="99"/>
    <w:rPr>
      <w:sz w:val="21"/>
      <w:szCs w:val="21"/>
    </w:rPr>
  </w:style>
  <w:style w:type="character" w:styleId="24">
    <w:name w:val="footnote reference"/>
    <w:basedOn w:val="19"/>
    <w:unhideWhenUsed/>
    <w:qFormat/>
    <w:uiPriority w:val="99"/>
    <w:rPr>
      <w:vertAlign w:val="superscript"/>
    </w:rPr>
  </w:style>
  <w:style w:type="paragraph" w:customStyle="1" w:styleId="25">
    <w:name w:val="Default"/>
    <w:qFormat/>
    <w:uiPriority w:val="0"/>
    <w:pPr>
      <w:widowControl w:val="0"/>
      <w:autoSpaceDE w:val="0"/>
      <w:autoSpaceDN w:val="0"/>
      <w:adjustRightInd w:val="0"/>
    </w:pPr>
    <w:rPr>
      <w:rFonts w:ascii="FNPMPD+X7759881D" w:hAnsi="Times New Roman" w:eastAsia="FNPMPD+X7759881D" w:cs="FNPMPD+X7759881D"/>
      <w:color w:val="000000"/>
      <w:sz w:val="24"/>
      <w:szCs w:val="24"/>
      <w:lang w:val="en-US" w:eastAsia="zh-CN" w:bidi="ar-SA"/>
    </w:rPr>
  </w:style>
  <w:style w:type="paragraph" w:customStyle="1" w:styleId="26">
    <w:name w:val="列出段落1"/>
    <w:basedOn w:val="1"/>
    <w:qFormat/>
    <w:uiPriority w:val="34"/>
    <w:pPr>
      <w:ind w:firstLine="420"/>
    </w:pPr>
  </w:style>
  <w:style w:type="paragraph" w:customStyle="1" w:styleId="27">
    <w:name w:val="列出段落11"/>
    <w:basedOn w:val="1"/>
    <w:qFormat/>
    <w:uiPriority w:val="34"/>
    <w:pPr>
      <w:widowControl w:val="0"/>
      <w:ind w:firstLine="420"/>
    </w:pPr>
    <w:rPr>
      <w:rFonts w:ascii="等线" w:hAnsi="等线" w:eastAsia="等线" w:cs="Times New Roman"/>
      <w:kern w:val="2"/>
      <w:sz w:val="21"/>
      <w:szCs w:val="22"/>
    </w:rPr>
  </w:style>
  <w:style w:type="paragraph" w:customStyle="1" w:styleId="28">
    <w:name w:val="TOC 标题1"/>
    <w:basedOn w:val="2"/>
    <w:next w:val="1"/>
    <w:unhideWhenUsed/>
    <w:qFormat/>
    <w:uiPriority w:val="39"/>
    <w:pPr>
      <w:spacing w:before="240" w:line="259" w:lineRule="auto"/>
      <w:outlineLvl w:val="9"/>
    </w:pPr>
    <w:rPr>
      <w:rFonts w:ascii="等线 Light" w:hAnsi="等线 Light" w:eastAsia="等线 Light" w:cs="Times New Roman"/>
      <w:b w:val="0"/>
      <w:bCs w:val="0"/>
      <w:color w:val="2F5496"/>
      <w:kern w:val="0"/>
      <w:szCs w:val="32"/>
    </w:rPr>
  </w:style>
  <w:style w:type="paragraph" w:customStyle="1" w:styleId="29">
    <w:name w:val="列出段落2"/>
    <w:basedOn w:val="1"/>
    <w:qFormat/>
    <w:uiPriority w:val="99"/>
    <w:pPr>
      <w:ind w:firstLine="420"/>
    </w:pPr>
  </w:style>
  <w:style w:type="paragraph" w:customStyle="1" w:styleId="30">
    <w:name w:val="TOC 标题11"/>
    <w:basedOn w:val="2"/>
    <w:next w:val="1"/>
    <w:unhideWhenUsed/>
    <w:qFormat/>
    <w:uiPriority w:val="39"/>
    <w:pPr>
      <w:spacing w:before="240" w:line="259" w:lineRule="auto"/>
      <w:outlineLvl w:val="9"/>
    </w:pPr>
    <w:rPr>
      <w:rFonts w:ascii="等线 Light" w:hAnsi="等线 Light" w:eastAsia="等线 Light" w:cs="Times New Roman"/>
      <w:b w:val="0"/>
      <w:bCs w:val="0"/>
      <w:color w:val="2F5496"/>
      <w:kern w:val="0"/>
      <w:szCs w:val="32"/>
    </w:rPr>
  </w:style>
  <w:style w:type="paragraph" w:customStyle="1" w:styleId="31">
    <w:name w:val="样式 首行缩进:  2 字符1"/>
    <w:basedOn w:val="1"/>
    <w:qFormat/>
    <w:uiPriority w:val="0"/>
    <w:pPr>
      <w:ind w:firstLine="560"/>
    </w:pPr>
    <w:rPr>
      <w:szCs w:val="20"/>
    </w:rPr>
  </w:style>
  <w:style w:type="paragraph" w:customStyle="1" w:styleId="32">
    <w:name w:val="样式 首行缩进:  2 字符"/>
    <w:basedOn w:val="1"/>
    <w:qFormat/>
    <w:uiPriority w:val="0"/>
    <w:pPr>
      <w:ind w:firstLine="640"/>
    </w:pPr>
    <w:rPr>
      <w:sz w:val="24"/>
      <w:szCs w:val="20"/>
    </w:rPr>
  </w:style>
  <w:style w:type="paragraph" w:customStyle="1" w:styleId="33">
    <w:name w:val="样式 样式 首行缩进:  2 字符 + 首行缩进:  2 字符"/>
    <w:basedOn w:val="32"/>
    <w:qFormat/>
    <w:uiPriority w:val="0"/>
    <w:pPr>
      <w:spacing w:line="500" w:lineRule="exact"/>
      <w:ind w:firstLine="200"/>
    </w:pPr>
    <w:rPr>
      <w:sz w:val="28"/>
    </w:rPr>
  </w:style>
  <w:style w:type="paragraph" w:customStyle="1" w:styleId="34">
    <w:name w:val="样式 首行缩进:  2 字符2"/>
    <w:basedOn w:val="1"/>
    <w:qFormat/>
    <w:uiPriority w:val="0"/>
    <w:pPr>
      <w:ind w:firstLine="560"/>
    </w:pPr>
    <w:rPr>
      <w:szCs w:val="20"/>
    </w:rPr>
  </w:style>
  <w:style w:type="paragraph" w:customStyle="1" w:styleId="35">
    <w:name w:val="样式 两端对齐 首行缩进:  2 字符"/>
    <w:basedOn w:val="1"/>
    <w:qFormat/>
    <w:uiPriority w:val="0"/>
    <w:pPr>
      <w:ind w:firstLine="560"/>
    </w:pPr>
    <w:rPr>
      <w:szCs w:val="20"/>
    </w:rPr>
  </w:style>
  <w:style w:type="paragraph" w:customStyle="1" w:styleId="36">
    <w:name w:val="样式 两端对齐 首行缩进:  2 字符1"/>
    <w:basedOn w:val="1"/>
    <w:qFormat/>
    <w:uiPriority w:val="0"/>
    <w:rPr>
      <w:szCs w:val="20"/>
    </w:rPr>
  </w:style>
  <w:style w:type="character" w:customStyle="1" w:styleId="37">
    <w:name w:val="批注文字 Char"/>
    <w:basedOn w:val="19"/>
    <w:link w:val="7"/>
    <w:semiHidden/>
    <w:qFormat/>
    <w:uiPriority w:val="99"/>
    <w:rPr>
      <w:rFonts w:ascii="宋体" w:hAnsi="宋体" w:eastAsia="宋体" w:cs="宋体"/>
      <w:kern w:val="0"/>
      <w:sz w:val="24"/>
      <w:szCs w:val="24"/>
    </w:rPr>
  </w:style>
  <w:style w:type="character" w:customStyle="1" w:styleId="38">
    <w:name w:val="批注主题 Char"/>
    <w:basedOn w:val="37"/>
    <w:link w:val="16"/>
    <w:semiHidden/>
    <w:qFormat/>
    <w:uiPriority w:val="99"/>
    <w:rPr>
      <w:rFonts w:ascii="宋体" w:hAnsi="宋体" w:eastAsia="宋体" w:cs="宋体"/>
      <w:b/>
      <w:bCs/>
      <w:kern w:val="0"/>
      <w:sz w:val="24"/>
      <w:szCs w:val="24"/>
    </w:rPr>
  </w:style>
  <w:style w:type="character" w:customStyle="1" w:styleId="39">
    <w:name w:val="脚注文本 Char"/>
    <w:basedOn w:val="19"/>
    <w:link w:val="13"/>
    <w:semiHidden/>
    <w:qFormat/>
    <w:uiPriority w:val="99"/>
    <w:rPr>
      <w:sz w:val="18"/>
      <w:szCs w:val="18"/>
    </w:rPr>
  </w:style>
  <w:style w:type="character" w:customStyle="1" w:styleId="40">
    <w:name w:val="页眉 Char"/>
    <w:basedOn w:val="19"/>
    <w:link w:val="11"/>
    <w:qFormat/>
    <w:uiPriority w:val="99"/>
    <w:rPr>
      <w:sz w:val="18"/>
      <w:szCs w:val="18"/>
    </w:rPr>
  </w:style>
  <w:style w:type="character" w:customStyle="1" w:styleId="41">
    <w:name w:val="标题 1 Char"/>
    <w:basedOn w:val="19"/>
    <w:link w:val="2"/>
    <w:qFormat/>
    <w:uiPriority w:val="9"/>
    <w:rPr>
      <w:rFonts w:ascii="宋体" w:hAnsi="宋体" w:eastAsia="仿宋" w:cs="宋体"/>
      <w:b/>
      <w:bCs/>
      <w:kern w:val="44"/>
      <w:sz w:val="32"/>
      <w:szCs w:val="44"/>
    </w:rPr>
  </w:style>
  <w:style w:type="character" w:customStyle="1" w:styleId="42">
    <w:name w:val="标题 2 Char"/>
    <w:basedOn w:val="19"/>
    <w:link w:val="3"/>
    <w:qFormat/>
    <w:uiPriority w:val="99"/>
    <w:rPr>
      <w:rFonts w:ascii="等线 Light" w:hAnsi="等线 Light" w:eastAsia="黑体" w:cs="Times New Roman"/>
      <w:b/>
      <w:bCs/>
      <w:sz w:val="30"/>
      <w:szCs w:val="32"/>
    </w:rPr>
  </w:style>
  <w:style w:type="character" w:customStyle="1" w:styleId="43">
    <w:name w:val="批注框文本 Char"/>
    <w:basedOn w:val="19"/>
    <w:link w:val="9"/>
    <w:qFormat/>
    <w:uiPriority w:val="99"/>
    <w:rPr>
      <w:sz w:val="18"/>
      <w:szCs w:val="18"/>
    </w:rPr>
  </w:style>
  <w:style w:type="character" w:customStyle="1" w:styleId="44">
    <w:name w:val="标题 3 Char"/>
    <w:basedOn w:val="19"/>
    <w:link w:val="4"/>
    <w:qFormat/>
    <w:uiPriority w:val="9"/>
    <w:rPr>
      <w:rFonts w:ascii="宋体" w:hAnsi="宋体" w:eastAsia="仿宋" w:cs="宋体"/>
      <w:b/>
      <w:bCs/>
      <w:kern w:val="0"/>
      <w:sz w:val="30"/>
      <w:szCs w:val="32"/>
    </w:rPr>
  </w:style>
  <w:style w:type="character" w:customStyle="1" w:styleId="45">
    <w:name w:val="页脚 Char"/>
    <w:basedOn w:val="19"/>
    <w:link w:val="10"/>
    <w:qFormat/>
    <w:uiPriority w:val="99"/>
    <w:rPr>
      <w:sz w:val="18"/>
      <w:szCs w:val="18"/>
    </w:rPr>
  </w:style>
  <w:style w:type="character" w:customStyle="1" w:styleId="46">
    <w:name w:val="标题 4 Char"/>
    <w:basedOn w:val="19"/>
    <w:link w:val="5"/>
    <w:qFormat/>
    <w:uiPriority w:val="9"/>
    <w:rPr>
      <w:rFonts w:ascii="等线 Light" w:hAnsi="等线 Light" w:eastAsia="等线 Light" w:cs="Times New Roman"/>
      <w:b/>
      <w:bCs/>
      <w:kern w:val="0"/>
      <w:sz w:val="28"/>
      <w:szCs w:val="28"/>
    </w:rPr>
  </w:style>
  <w:style w:type="character" w:customStyle="1" w:styleId="47">
    <w:name w:val="Footer Char"/>
    <w:basedOn w:val="19"/>
    <w:qFormat/>
    <w:locked/>
    <w:uiPriority w:val="0"/>
    <w:rPr>
      <w:rFonts w:cs="Times New Roman"/>
      <w:kern w:val="2"/>
      <w:sz w:val="22"/>
      <w:szCs w:val="22"/>
    </w:rPr>
  </w:style>
  <w:style w:type="table" w:customStyle="1" w:styleId="48">
    <w:name w:val="网格表 2 - 着色 21"/>
    <w:basedOn w:val="17"/>
    <w:qFormat/>
    <w:uiPriority w:val="47"/>
    <w:tblPr>
      <w:tblBorders>
        <w:top w:val="single" w:color="F4B083" w:sz="2" w:space="0"/>
        <w:bottom w:val="single" w:color="F4B083" w:sz="2" w:space="0"/>
        <w:insideH w:val="single" w:color="F4B083" w:sz="2" w:space="0"/>
        <w:insideV w:val="single" w:color="F4B083" w:sz="2"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shd w:val="clear" w:color="auto" w:fill="FFFFFF"/>
      </w:tcPr>
    </w:tblStylePr>
    <w:tblStylePr w:type="lastRow">
      <w:rPr>
        <w:b/>
        <w:bCs/>
      </w:rPr>
      <w:tcPr>
        <w:tcBorders>
          <w:top w:val="double" w:color="F4B083"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49">
    <w:name w:val="网格表 4 - 着色 21"/>
    <w:basedOn w:val="17"/>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l2br w:val="nil"/>
          <w:tr2bl w:val="nil"/>
        </w:tcBorders>
        <w:shd w:val="clear" w:color="auto" w:fill="ED7D31"/>
      </w:tcPr>
    </w:tblStylePr>
    <w:tblStylePr w:type="lastRow">
      <w:rPr>
        <w:b/>
        <w:bCs/>
      </w:rPr>
      <w:tcPr>
        <w:tcBorders>
          <w:top w:val="double" w:color="ED7D31"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0">
    <w:name w:val="网格表 4 - 着色 22"/>
    <w:basedOn w:val="17"/>
    <w:qFormat/>
    <w:uiPriority w:val="4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l2br w:val="nil"/>
          <w:tr2bl w:val="nil"/>
        </w:tcBorders>
        <w:shd w:val="clear" w:color="auto" w:fill="ED7D31"/>
      </w:tcPr>
    </w:tblStylePr>
    <w:tblStylePr w:type="lastRow">
      <w:rPr>
        <w:b/>
        <w:bCs/>
      </w:rPr>
      <w:tcPr>
        <w:tcBorders>
          <w:top w:val="double" w:color="ED7D31"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51">
    <w:name w:val="网格表 6 彩色 - 着色 21"/>
    <w:basedOn w:val="17"/>
    <w:qFormat/>
    <w:uiPriority w:val="51"/>
    <w:rPr>
      <w:color w:val="C55911"/>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tcPr>
    </w:tblStylePr>
    <w:tblStylePr w:type="lastRow">
      <w:rPr>
        <w:b/>
        <w:bCs/>
      </w:rPr>
      <w:tcPr>
        <w:tcBorders>
          <w:top w:val="double" w:color="F4B083"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character" w:customStyle="1" w:styleId="52">
    <w:name w:val="文档结构图 Char"/>
    <w:basedOn w:val="19"/>
    <w:link w:val="6"/>
    <w:qFormat/>
    <w:uiPriority w:val="0"/>
    <w:rPr>
      <w:kern w:val="2"/>
      <w:sz w:val="21"/>
      <w:szCs w:val="24"/>
      <w:shd w:val="clear" w:color="auto" w:fill="000080"/>
    </w:rPr>
  </w:style>
  <w:style w:type="character" w:customStyle="1" w:styleId="53">
    <w:name w:val="批注框文本 Char1"/>
    <w:basedOn w:val="19"/>
    <w:link w:val="9"/>
    <w:qFormat/>
    <w:uiPriority w:val="0"/>
    <w:rPr>
      <w:kern w:val="2"/>
      <w:sz w:val="18"/>
      <w:szCs w:val="18"/>
    </w:rPr>
  </w:style>
  <w:style w:type="character" w:customStyle="1" w:styleId="54">
    <w:name w:val="页眉 Char1"/>
    <w:basedOn w:val="19"/>
    <w:link w:val="11"/>
    <w:qFormat/>
    <w:uiPriority w:val="0"/>
    <w:rPr>
      <w:kern w:val="2"/>
      <w:sz w:val="18"/>
      <w:szCs w:val="18"/>
    </w:rPr>
  </w:style>
  <w:style w:type="character" w:customStyle="1" w:styleId="55">
    <w:name w:val="批注文字 Char1"/>
    <w:basedOn w:val="19"/>
    <w:link w:val="7"/>
    <w:qFormat/>
    <w:uiPriority w:val="0"/>
    <w:rPr>
      <w:kern w:val="2"/>
      <w:sz w:val="21"/>
      <w:szCs w:val="24"/>
    </w:rPr>
  </w:style>
  <w:style w:type="character" w:customStyle="1" w:styleId="56">
    <w:name w:val="脚注文本 Char1"/>
    <w:basedOn w:val="19"/>
    <w:link w:val="13"/>
    <w:qFormat/>
    <w:uiPriority w:val="0"/>
    <w:rPr>
      <w:kern w:val="2"/>
      <w:sz w:val="18"/>
      <w:szCs w:val="18"/>
    </w:rPr>
  </w:style>
  <w:style w:type="character" w:customStyle="1" w:styleId="57">
    <w:name w:val="页脚 Char1"/>
    <w:basedOn w:val="19"/>
    <w:link w:val="10"/>
    <w:qFormat/>
    <w:uiPriority w:val="0"/>
    <w:rPr>
      <w:kern w:val="2"/>
      <w:sz w:val="18"/>
      <w:szCs w:val="18"/>
    </w:rPr>
  </w:style>
  <w:style w:type="character" w:customStyle="1" w:styleId="58">
    <w:name w:val="批注主题 Char1"/>
    <w:basedOn w:val="55"/>
    <w:link w:val="16"/>
    <w:qFormat/>
    <w:uiPriority w:val="0"/>
    <w:rPr>
      <w:b/>
      <w:kern w:val="2"/>
      <w:sz w:val="21"/>
      <w:szCs w:val="24"/>
    </w:rPr>
  </w:style>
  <w:style w:type="paragraph" w:customStyle="1" w:styleId="59">
    <w:name w:val="WPSOffice手动目录 1"/>
    <w:basedOn w:val="1"/>
    <w:qFormat/>
    <w:uiPriority w:val="0"/>
    <w:pPr>
      <w:jc w:val="left"/>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2837</Words>
  <Characters>16173</Characters>
  <Lines>134</Lines>
  <Paragraphs>37</Paragraphs>
  <TotalTime>13</TotalTime>
  <ScaleCrop>false</ScaleCrop>
  <LinksUpToDate>false</LinksUpToDate>
  <CharactersWithSpaces>18973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2019-08-22T23:32:00Z</dcterms:created>
  <dc:creator>刘 景东</dc:creator>
  <cp:lastModifiedBy>牧牛人</cp:lastModifiedBy>
  <cp:lastPrinted>2021-04-15T06:39:00Z</cp:lastPrinted>
  <dcterms:modified xsi:type="dcterms:W3CDTF">2021-04-20T02:41:59Z</dcterms:modified>
  <dc:title>目    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A9EBE4A1E3274711982F9A683D8DA0A8</vt:lpwstr>
  </property>
</Properties>
</file>